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071B6280"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36246B">
        <w:rPr>
          <w:rFonts w:ascii="Arial" w:eastAsia="Batang" w:hAnsi="Arial" w:cs="Arial"/>
          <w:b/>
          <w:bCs/>
          <w:sz w:val="28"/>
          <w:lang w:eastAsia="en-US"/>
        </w:rPr>
        <w:t>2</w:t>
      </w:r>
      <w:r w:rsidRPr="00145DC1">
        <w:rPr>
          <w:rFonts w:ascii="Arial" w:eastAsia="Batang" w:hAnsi="Arial" w:cs="Arial"/>
          <w:b/>
          <w:bCs/>
          <w:sz w:val="28"/>
          <w:lang w:eastAsia="en-US"/>
        </w:rPr>
        <w:t xml:space="preserve"> #1</w:t>
      </w:r>
      <w:r w:rsidR="0036246B">
        <w:rPr>
          <w:rFonts w:ascii="Arial" w:eastAsia="Batang" w:hAnsi="Arial" w:cs="Arial"/>
          <w:b/>
          <w:bCs/>
          <w:sz w:val="28"/>
          <w:lang w:eastAsia="en-US"/>
        </w:rPr>
        <w:t>2</w:t>
      </w:r>
      <w:r w:rsidR="00E90206">
        <w:rPr>
          <w:rFonts w:ascii="Arial" w:eastAsia="Batang" w:hAnsi="Arial" w:cs="Arial"/>
          <w:b/>
          <w:bCs/>
          <w:sz w:val="28"/>
          <w:lang w:eastAsia="en-US"/>
        </w:rPr>
        <w:t>9</w:t>
      </w:r>
      <w:r w:rsidRPr="00145DC1">
        <w:rPr>
          <w:rFonts w:ascii="Arial" w:eastAsia="Batang" w:hAnsi="Arial" w:cs="Arial"/>
          <w:b/>
          <w:bCs/>
          <w:sz w:val="28"/>
          <w:lang w:eastAsia="en-US"/>
        </w:rPr>
        <w:tab/>
      </w:r>
      <w:r w:rsidRPr="00145DC1">
        <w:rPr>
          <w:rFonts w:ascii="Arial" w:eastAsia="Batang" w:hAnsi="Arial" w:cs="Arial"/>
          <w:b/>
          <w:bCs/>
          <w:sz w:val="28"/>
          <w:lang w:eastAsia="en-US"/>
        </w:rPr>
        <w:tab/>
        <w:t>R</w:t>
      </w:r>
      <w:r w:rsidR="0036246B">
        <w:rPr>
          <w:rFonts w:ascii="Arial" w:eastAsia="Batang" w:hAnsi="Arial" w:cs="Arial"/>
          <w:b/>
          <w:bCs/>
          <w:sz w:val="28"/>
          <w:lang w:eastAsia="en-US"/>
        </w:rPr>
        <w:t>2</w:t>
      </w:r>
      <w:r w:rsidRPr="00145DC1">
        <w:rPr>
          <w:rFonts w:ascii="Arial" w:eastAsia="Batang" w:hAnsi="Arial" w:cs="Arial"/>
          <w:b/>
          <w:bCs/>
          <w:sz w:val="28"/>
          <w:lang w:eastAsia="en-US"/>
        </w:rPr>
        <w:t>-2</w:t>
      </w:r>
      <w:r w:rsidR="00512D32">
        <w:rPr>
          <w:rFonts w:ascii="Arial" w:eastAsia="Batang" w:hAnsi="Arial" w:cs="Arial"/>
          <w:b/>
          <w:bCs/>
          <w:sz w:val="28"/>
          <w:lang w:eastAsia="en-US"/>
        </w:rPr>
        <w:t>501103</w:t>
      </w:r>
    </w:p>
    <w:p w14:paraId="5AF4F467" w14:textId="26F1104C" w:rsidR="00F9352F" w:rsidRPr="00145DC1" w:rsidRDefault="00E90206" w:rsidP="00F9352F">
      <w:pPr>
        <w:tabs>
          <w:tab w:val="center" w:pos="4536"/>
          <w:tab w:val="right" w:pos="9072"/>
        </w:tabs>
        <w:spacing w:after="0"/>
        <w:rPr>
          <w:rFonts w:ascii="Arial" w:eastAsia="MS Mincho" w:hAnsi="Arial" w:cs="Arial"/>
          <w:b/>
          <w:bCs/>
          <w:sz w:val="28"/>
          <w:lang w:eastAsia="ja-JP"/>
        </w:rPr>
      </w:pPr>
      <w:r>
        <w:rPr>
          <w:rFonts w:ascii="Arial" w:eastAsia="Batang" w:hAnsi="Arial" w:cs="Arial"/>
          <w:b/>
          <w:bCs/>
          <w:sz w:val="28"/>
          <w:lang w:eastAsia="en-US"/>
        </w:rPr>
        <w:t>Athens, G</w:t>
      </w:r>
      <w:r w:rsidR="00D23EF5">
        <w:rPr>
          <w:rFonts w:ascii="Arial" w:eastAsia="Batang" w:hAnsi="Arial" w:cs="Arial"/>
          <w:b/>
          <w:bCs/>
          <w:sz w:val="28"/>
          <w:lang w:eastAsia="en-US"/>
        </w:rPr>
        <w:t>R</w:t>
      </w:r>
      <w:r w:rsidR="00F9352F" w:rsidRPr="00781F85">
        <w:rPr>
          <w:rFonts w:ascii="Arial" w:eastAsia="Batang" w:hAnsi="Arial" w:cs="Arial"/>
          <w:b/>
          <w:bCs/>
          <w:sz w:val="28"/>
          <w:lang w:eastAsia="en-US"/>
        </w:rPr>
        <w:t xml:space="preserve">, </w:t>
      </w:r>
      <w:r w:rsidRPr="00781F85">
        <w:rPr>
          <w:rFonts w:ascii="Arial" w:eastAsia="Batang" w:hAnsi="Arial" w:cs="Arial"/>
          <w:b/>
          <w:bCs/>
          <w:sz w:val="28"/>
          <w:lang w:eastAsia="en-US"/>
        </w:rPr>
        <w:t>Feb</w:t>
      </w:r>
      <w:bookmarkStart w:id="1" w:name="_GoBack"/>
      <w:bookmarkEnd w:id="1"/>
      <w:r w:rsidR="00F9352F" w:rsidRPr="00145DC1">
        <w:rPr>
          <w:rFonts w:ascii="Arial" w:eastAsia="MS Mincho" w:hAnsi="Arial" w:cs="Arial"/>
          <w:b/>
          <w:bCs/>
          <w:sz w:val="28"/>
          <w:lang w:eastAsia="ja-JP"/>
        </w:rPr>
        <w:t xml:space="preserve"> </w:t>
      </w:r>
      <w:r>
        <w:rPr>
          <w:rFonts w:ascii="Arial" w:eastAsia="MS Mincho" w:hAnsi="Arial" w:cs="Arial"/>
          <w:b/>
          <w:bCs/>
          <w:sz w:val="28"/>
          <w:lang w:eastAsia="ja-JP"/>
        </w:rPr>
        <w:t>17</w:t>
      </w:r>
      <w:r w:rsidR="00F9352F" w:rsidRPr="00145DC1">
        <w:rPr>
          <w:rFonts w:ascii="Malgun Gothic" w:eastAsia="Malgun Gothic" w:hAnsi="Malgun Gothic" w:cs="Malgun Gothic" w:hint="eastAsia"/>
          <w:b/>
          <w:bCs/>
          <w:sz w:val="28"/>
          <w:vertAlign w:val="superscript"/>
          <w:lang w:eastAsia="ko-KR"/>
        </w:rPr>
        <w:t>th</w:t>
      </w:r>
      <w:r w:rsidR="00F9352F" w:rsidRPr="00145DC1">
        <w:rPr>
          <w:rFonts w:ascii="Arial" w:eastAsia="MS Mincho" w:hAnsi="Arial" w:cs="Arial"/>
          <w:b/>
          <w:bCs/>
          <w:sz w:val="28"/>
          <w:lang w:eastAsia="ja-JP"/>
        </w:rPr>
        <w:t xml:space="preserve"> </w:t>
      </w:r>
      <w:r w:rsidR="0020015C">
        <w:rPr>
          <w:rFonts w:ascii="Arial" w:eastAsia="Batang" w:hAnsi="Arial" w:cs="Arial"/>
          <w:b/>
          <w:bCs/>
          <w:sz w:val="28"/>
          <w:lang w:eastAsia="en-US"/>
        </w:rPr>
        <w:t>– 2</w:t>
      </w:r>
      <w:r>
        <w:rPr>
          <w:rFonts w:ascii="Arial" w:eastAsia="Batang" w:hAnsi="Arial" w:cs="Arial"/>
          <w:b/>
          <w:bCs/>
          <w:sz w:val="28"/>
          <w:lang w:eastAsia="en-US"/>
        </w:rPr>
        <w:t>1</w:t>
      </w:r>
      <w:r>
        <w:rPr>
          <w:rFonts w:ascii="Arial" w:eastAsia="Batang" w:hAnsi="Arial" w:cs="Arial"/>
          <w:b/>
          <w:bCs/>
          <w:sz w:val="28"/>
          <w:vertAlign w:val="superscript"/>
          <w:lang w:eastAsia="en-US"/>
        </w:rPr>
        <w:t>st</w:t>
      </w:r>
      <w:r w:rsidR="00F9352F" w:rsidRPr="00145DC1">
        <w:rPr>
          <w:rFonts w:ascii="Arial" w:eastAsia="MS Mincho" w:hAnsi="Arial" w:cs="Arial"/>
          <w:b/>
          <w:bCs/>
          <w:sz w:val="28"/>
          <w:lang w:eastAsia="ja-JP"/>
        </w:rPr>
        <w:t>, 202</w:t>
      </w:r>
      <w:r>
        <w:rPr>
          <w:rFonts w:ascii="Arial" w:eastAsia="MS Mincho" w:hAnsi="Arial" w:cs="Arial"/>
          <w:b/>
          <w:bCs/>
          <w:sz w:val="28"/>
          <w:lang w:eastAsia="ja-JP"/>
        </w:rPr>
        <w:t>5</w:t>
      </w:r>
    </w:p>
    <w:bookmarkEnd w:id="0"/>
    <w:p w14:paraId="599F1D6A" w14:textId="77777777" w:rsidR="0036246B" w:rsidRPr="0036246B" w:rsidRDefault="0036246B" w:rsidP="00E90206">
      <w:pPr>
        <w:pStyle w:val="Doc-text2"/>
        <w:rPr>
          <w:lang w:eastAsia="en-US"/>
        </w:rPr>
      </w:pPr>
    </w:p>
    <w:p w14:paraId="377862AB" w14:textId="122D20FA" w:rsidR="00BE798B" w:rsidRPr="0036246B" w:rsidRDefault="00BE798B" w:rsidP="00BE798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Pr="00BE798B">
        <w:rPr>
          <w:rFonts w:ascii="Arial" w:eastAsia="MS Mincho" w:hAnsi="Arial" w:cs="Arial"/>
          <w:bCs/>
          <w:sz w:val="28"/>
          <w:lang w:eastAsia="ja-JP"/>
        </w:rPr>
        <w:t>LCM for UE-sided model for BM</w:t>
      </w:r>
    </w:p>
    <w:p w14:paraId="48383E87" w14:textId="3989CB37" w:rsidR="0036246B" w:rsidRPr="0036246B" w:rsidRDefault="0036246B" w:rsidP="0036246B">
      <w:pPr>
        <w:tabs>
          <w:tab w:val="left" w:pos="1985"/>
        </w:tabs>
        <w:overflowPunct/>
        <w:autoSpaceDE/>
        <w:autoSpaceDN/>
        <w:adjustRightInd/>
        <w:spacing w:after="120"/>
        <w:textAlignment w:val="auto"/>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Pr="0036246B">
        <w:rPr>
          <w:rFonts w:ascii="Arial" w:eastAsia="MS Mincho" w:hAnsi="Arial" w:cs="Arial"/>
          <w:bCs/>
          <w:sz w:val="28"/>
          <w:lang w:eastAsia="ja-JP"/>
        </w:rPr>
        <w:t>8.1.</w:t>
      </w:r>
      <w:r w:rsidRPr="00BE798B">
        <w:rPr>
          <w:rFonts w:ascii="Arial" w:eastAsia="MS Mincho" w:hAnsi="Arial" w:cs="Arial"/>
          <w:bCs/>
          <w:sz w:val="28"/>
          <w:lang w:eastAsia="ja-JP"/>
        </w:rPr>
        <w:t>2.2</w:t>
      </w:r>
    </w:p>
    <w:p w14:paraId="30C3A4C6" w14:textId="27373CE6" w:rsidR="0036246B" w:rsidRPr="0036246B" w:rsidRDefault="0036246B" w:rsidP="0036246B">
      <w:pPr>
        <w:tabs>
          <w:tab w:val="left" w:pos="1985"/>
        </w:tabs>
        <w:overflowPunct/>
        <w:autoSpaceDE/>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7858E2B0" w:rsidR="00B97703" w:rsidRDefault="000F6242" w:rsidP="00B97703">
      <w:pPr>
        <w:pStyle w:val="Heading1"/>
      </w:pPr>
      <w:r>
        <w:t>1</w:t>
      </w:r>
      <w:r w:rsidR="0036246B">
        <w:t xml:space="preserve"> Introduction</w:t>
      </w:r>
    </w:p>
    <w:p w14:paraId="6B1BAC9F" w14:textId="058AA359" w:rsidR="0013428F" w:rsidRDefault="0013428F" w:rsidP="0013428F">
      <w:pPr>
        <w:rPr>
          <w:lang w:val="en-US"/>
        </w:rPr>
      </w:pPr>
      <w:r>
        <w:rPr>
          <w:lang w:eastAsia="zh-CN"/>
        </w:rPr>
        <w:t xml:space="preserve">In RAN2#128 meeting, there were some agreements and FFSs for UE-sided model for BM case. </w:t>
      </w:r>
    </w:p>
    <w:p w14:paraId="3B53421B" w14:textId="77777777" w:rsidR="0013428F" w:rsidRPr="005B5B44" w:rsidRDefault="0013428F" w:rsidP="0013428F">
      <w:pPr>
        <w:pStyle w:val="Doc-text2"/>
        <w:pBdr>
          <w:top w:val="single" w:sz="4" w:space="1" w:color="auto"/>
          <w:left w:val="single" w:sz="4" w:space="4" w:color="auto"/>
          <w:bottom w:val="single" w:sz="4" w:space="1" w:color="auto"/>
          <w:right w:val="single" w:sz="4" w:space="4" w:color="auto"/>
        </w:pBdr>
        <w:rPr>
          <w:b/>
          <w:bCs/>
          <w:lang w:val="en-US"/>
        </w:rPr>
      </w:pPr>
      <w:r w:rsidRPr="005B5B44">
        <w:rPr>
          <w:b/>
          <w:bCs/>
          <w:lang w:val="en-US"/>
        </w:rPr>
        <w:t xml:space="preserve">Agreements </w:t>
      </w:r>
    </w:p>
    <w:p w14:paraId="041BD649" w14:textId="5E244A36"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6F4CE0">
        <w:rPr>
          <w:lang w:val="en-US"/>
        </w:rPr>
        <w:t>When a functionality configured by the network to be reported via UAI, becomes from non-</w:t>
      </w:r>
      <w:r w:rsidRPr="001243BD">
        <w:rPr>
          <w:lang w:val="en-US"/>
        </w:rPr>
        <w:t>applicable to applicable, the UE can reports it to the network.   FFS detailed design</w:t>
      </w:r>
    </w:p>
    <w:p w14:paraId="3AF86525" w14:textId="77777777"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When a functionality becomes non-applicable the UE doesn’t autonomously deactivate. NW is expected to deactivate active functionality when it receives report from UE that it is non-applicable.</w:t>
      </w:r>
    </w:p>
    <w:p w14:paraId="664CFFE0" w14:textId="313FE212"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FFS whether the UE reports explicitly “non-applicable” functionality when there is a change of applicability.   Verify this aligns with RAN1 configuration design</w:t>
      </w:r>
    </w:p>
    <w:p w14:paraId="3301207F" w14:textId="77777777"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4D488619" w14:textId="77777777"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 xml:space="preserve">Source cell UAI (as is) can be sent from source cell to target cell using existing signaling.   No further optimizations will be considered in RAN2 related to UAI.  </w:t>
      </w:r>
    </w:p>
    <w:p w14:paraId="724D3E60" w14:textId="77777777"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For BM use case for UE-side model, data collection related configuration(s) (e.g., measurement resources configuration) and associated ID(s) can be included in training data collection configuration.</w:t>
      </w:r>
    </w:p>
    <w:p w14:paraId="185EEC27" w14:textId="7AD087F4"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 xml:space="preserve">For data collection configuration UE-side model training, the UE can send a request for data collection.   FFS what the request contains.    </w:t>
      </w:r>
    </w:p>
    <w:p w14:paraId="0C9650A3" w14:textId="77777777"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 xml:space="preserve">The network can provide the data collection configuration (at any point in time), with or without UE request.    </w:t>
      </w:r>
    </w:p>
    <w:p w14:paraId="7DA04717" w14:textId="77777777"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The following methods for network control of the initiation and configuration for data collection:</w:t>
      </w:r>
    </w:p>
    <w:p w14:paraId="08D4414F" w14:textId="176B2CCB" w:rsidR="0013428F" w:rsidRPr="001243BD" w:rsidRDefault="0013428F" w:rsidP="0013428F">
      <w:pPr>
        <w:pStyle w:val="Doc-text2"/>
        <w:pBdr>
          <w:top w:val="single" w:sz="4" w:space="1" w:color="auto"/>
          <w:left w:val="single" w:sz="4" w:space="4" w:color="auto"/>
          <w:bottom w:val="single" w:sz="4" w:space="1" w:color="auto"/>
          <w:right w:val="single" w:sz="4" w:space="4" w:color="auto"/>
        </w:pBdr>
        <w:ind w:left="1619" w:firstLine="0"/>
        <w:rPr>
          <w:lang w:val="en-US"/>
        </w:rPr>
      </w:pPr>
      <w:r w:rsidRPr="001243BD">
        <w:rPr>
          <w:lang w:val="en-US"/>
        </w:rPr>
        <w:t>- The network can decide when to start/stop the data collection and send configuration.</w:t>
      </w:r>
    </w:p>
    <w:p w14:paraId="51DA223B" w14:textId="05A223FE" w:rsidR="0013428F" w:rsidRPr="001243BD" w:rsidRDefault="0013428F" w:rsidP="0013428F">
      <w:pPr>
        <w:pStyle w:val="Doc-text2"/>
        <w:pBdr>
          <w:top w:val="single" w:sz="4" w:space="1" w:color="auto"/>
          <w:left w:val="single" w:sz="4" w:space="4" w:color="auto"/>
          <w:bottom w:val="single" w:sz="4" w:space="1" w:color="auto"/>
          <w:right w:val="single" w:sz="4" w:space="4" w:color="auto"/>
        </w:pBdr>
        <w:ind w:left="1619" w:firstLine="0"/>
        <w:rPr>
          <w:lang w:val="en-US"/>
        </w:rPr>
      </w:pPr>
      <w:r w:rsidRPr="001243BD">
        <w:rPr>
          <w:lang w:val="en-US"/>
        </w:rPr>
        <w:t>- The network can configure whether UE is allowed to initiate request for data collection.</w:t>
      </w:r>
    </w:p>
    <w:p w14:paraId="3860038E" w14:textId="384B7C40" w:rsidR="0013428F" w:rsidRPr="001243BD" w:rsidRDefault="0013428F"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1243BD">
        <w:rPr>
          <w:lang w:val="en-US"/>
        </w:rPr>
        <w:t xml:space="preserve">FFS whether an indication from UE to network is needed when UE can’t perform data collection based on received configuration </w:t>
      </w:r>
    </w:p>
    <w:p w14:paraId="56753B6C" w14:textId="77777777" w:rsidR="0013428F" w:rsidRDefault="0013428F" w:rsidP="0013428F">
      <w:pPr>
        <w:pStyle w:val="Comments"/>
        <w:rPr>
          <w:b/>
          <w:bCs/>
          <w:i w:val="0"/>
          <w:iCs/>
          <w:lang w:val="en-US"/>
        </w:rPr>
      </w:pPr>
    </w:p>
    <w:p w14:paraId="0B34667B" w14:textId="7D1E9F3A" w:rsidR="006D131E" w:rsidRDefault="0000486E" w:rsidP="0000486E">
      <w:pPr>
        <w:rPr>
          <w:lang w:val="en-US"/>
        </w:rPr>
      </w:pPr>
      <w:r>
        <w:rPr>
          <w:lang w:eastAsia="zh-CN"/>
        </w:rPr>
        <w:t xml:space="preserve">In RAN2#127bis meeting, there were some agreements and FFSs for UE-sided model for BM case. </w:t>
      </w:r>
    </w:p>
    <w:p w14:paraId="744C431D" w14:textId="77777777" w:rsidR="006D131E" w:rsidRPr="00DA0A4D" w:rsidRDefault="006D131E" w:rsidP="006D131E">
      <w:pPr>
        <w:pStyle w:val="Doc-text2"/>
        <w:pBdr>
          <w:top w:val="single" w:sz="4" w:space="1" w:color="auto"/>
          <w:left w:val="single" w:sz="4" w:space="4" w:color="auto"/>
          <w:bottom w:val="single" w:sz="4" w:space="1" w:color="auto"/>
          <w:right w:val="single" w:sz="4" w:space="4" w:color="auto"/>
        </w:pBdr>
        <w:rPr>
          <w:b/>
          <w:bCs/>
          <w:lang w:val="en-US" w:eastAsia="zh-CN"/>
        </w:rPr>
      </w:pPr>
      <w:r w:rsidRPr="00DA0A4D">
        <w:rPr>
          <w:b/>
          <w:bCs/>
          <w:lang w:val="en-US" w:eastAsia="zh-CN"/>
        </w:rPr>
        <w:t>Agreements for BM</w:t>
      </w:r>
    </w:p>
    <w:p w14:paraId="2CB7A5D9" w14:textId="77777777" w:rsidR="006D131E" w:rsidRPr="00942A9D" w:rsidRDefault="006D131E" w:rsidP="002F705B">
      <w:pPr>
        <w:pStyle w:val="Agreement"/>
        <w:numPr>
          <w:ilvl w:val="0"/>
          <w:numId w:val="12"/>
        </w:numPr>
        <w:pBdr>
          <w:top w:val="single" w:sz="4" w:space="1" w:color="auto"/>
          <w:left w:val="single" w:sz="4" w:space="4" w:color="auto"/>
          <w:bottom w:val="single" w:sz="4" w:space="1" w:color="auto"/>
          <w:right w:val="single" w:sz="4" w:space="4" w:color="auto"/>
        </w:pBdr>
        <w:rPr>
          <w:b w:val="0"/>
          <w:lang w:val="en-US" w:eastAsia="zh-CN"/>
        </w:rPr>
      </w:pPr>
      <w:r w:rsidRPr="00942A9D">
        <w:rPr>
          <w:b w:val="0"/>
          <w:lang w:val="en-US" w:eastAsia="zh-CN"/>
        </w:rPr>
        <w:t xml:space="preserve">UAI is supported and </w:t>
      </w:r>
      <w:r w:rsidRPr="00175724">
        <w:rPr>
          <w:b w:val="0"/>
          <w:lang w:val="en-US" w:eastAsia="zh-CN"/>
        </w:rPr>
        <w:t>RRCReconfigurationComplete message</w:t>
      </w:r>
      <w:r w:rsidRPr="00942A9D">
        <w:rPr>
          <w:b w:val="0"/>
          <w:lang w:val="en-US" w:eastAsia="zh-CN"/>
        </w:rPr>
        <w:t xml:space="preserve"> can be used to report applicable functionality</w:t>
      </w:r>
      <w:r w:rsidRPr="00175724">
        <w:rPr>
          <w:b w:val="0"/>
          <w:highlight w:val="yellow"/>
          <w:lang w:val="en-US" w:eastAsia="zh-CN"/>
        </w:rPr>
        <w:t>.   We should aim to align the design on how the applicable functionality are signaled.   FF</w:t>
      </w:r>
      <w:r w:rsidRPr="00F478F4">
        <w:rPr>
          <w:b w:val="0"/>
          <w:highlight w:val="yellow"/>
          <w:lang w:val="en-US" w:eastAsia="zh-CN"/>
        </w:rPr>
        <w:t>S on the applicability reporting content</w:t>
      </w:r>
      <w:r w:rsidRPr="00942A9D">
        <w:rPr>
          <w:b w:val="0"/>
          <w:lang w:val="en-US" w:eastAsia="zh-CN"/>
        </w:rPr>
        <w:t xml:space="preserve">.   </w:t>
      </w:r>
    </w:p>
    <w:p w14:paraId="5406B41C" w14:textId="77777777" w:rsidR="00766089" w:rsidRDefault="00766089" w:rsidP="00766089">
      <w:pPr>
        <w:pStyle w:val="Doc-text2"/>
      </w:pPr>
    </w:p>
    <w:p w14:paraId="09BA2D06" w14:textId="1C7E5127" w:rsidR="00766089" w:rsidRDefault="0031116F" w:rsidP="009B5AD2">
      <w:pPr>
        <w:rPr>
          <w:lang w:eastAsia="zh-CN"/>
        </w:rPr>
      </w:pPr>
      <w:r>
        <w:rPr>
          <w:lang w:eastAsia="zh-CN"/>
        </w:rPr>
        <w:t xml:space="preserve">In this paper, we </w:t>
      </w:r>
      <w:r w:rsidR="00A06AB0">
        <w:rPr>
          <w:lang w:eastAsia="zh-CN"/>
        </w:rPr>
        <w:t xml:space="preserve">further </w:t>
      </w:r>
      <w:r>
        <w:rPr>
          <w:lang w:eastAsia="zh-CN"/>
        </w:rPr>
        <w:t xml:space="preserve">discuss the remaining FFSs </w:t>
      </w:r>
      <w:r w:rsidR="0046726B">
        <w:rPr>
          <w:lang w:eastAsia="zh-CN"/>
        </w:rPr>
        <w:t xml:space="preserve">and </w:t>
      </w:r>
      <w:r w:rsidR="0071585F">
        <w:rPr>
          <w:lang w:eastAsia="zh-CN"/>
        </w:rPr>
        <w:t>give</w:t>
      </w:r>
      <w:r w:rsidR="005F397F">
        <w:rPr>
          <w:lang w:eastAsia="zh-CN"/>
        </w:rPr>
        <w:t xml:space="preserve"> related</w:t>
      </w:r>
      <w:r w:rsidR="0071585F">
        <w:rPr>
          <w:lang w:eastAsia="zh-CN"/>
        </w:rPr>
        <w:t xml:space="preserve"> considerations.</w:t>
      </w:r>
    </w:p>
    <w:p w14:paraId="6DCABD9E" w14:textId="11947BCB" w:rsidR="00B97703" w:rsidRDefault="001C7083" w:rsidP="000F6242">
      <w:pPr>
        <w:pStyle w:val="Heading1"/>
      </w:pPr>
      <w:r>
        <w:lastRenderedPageBreak/>
        <w:t>2 Discussion</w:t>
      </w:r>
    </w:p>
    <w:p w14:paraId="69B94BA0" w14:textId="365C7CAF" w:rsidR="004649D5" w:rsidRDefault="0011794D" w:rsidP="002F705B">
      <w:pPr>
        <w:pStyle w:val="Heading2"/>
        <w:numPr>
          <w:ilvl w:val="1"/>
          <w:numId w:val="7"/>
        </w:numPr>
      </w:pPr>
      <w:r>
        <w:t xml:space="preserve">Reporting of </w:t>
      </w:r>
      <w:r w:rsidR="00E64987">
        <w:t>Supported</w:t>
      </w:r>
      <w:r w:rsidR="004649D5">
        <w:t xml:space="preserve"> functionality information</w:t>
      </w:r>
    </w:p>
    <w:p w14:paraId="40326F9C" w14:textId="089E806B" w:rsidR="0081069B" w:rsidRDefault="0081069B" w:rsidP="0081069B">
      <w:pPr>
        <w:rPr>
          <w:rFonts w:eastAsia="Times New Roman"/>
        </w:rPr>
      </w:pPr>
      <w:r>
        <w:t xml:space="preserve">According to </w:t>
      </w:r>
      <w:r w:rsidR="00F847C2">
        <w:t xml:space="preserve">the </w:t>
      </w:r>
      <w:r w:rsidR="00D74871">
        <w:t xml:space="preserve">previous </w:t>
      </w:r>
      <w:r>
        <w:t>progress</w:t>
      </w:r>
      <w:r w:rsidR="00F847C2">
        <w:t>es</w:t>
      </w:r>
      <w:r w:rsidR="00D74871">
        <w:t>,</w:t>
      </w:r>
      <w:r>
        <w:t xml:space="preserve"> RAN2 has made the following signalling procedure on applicable functionality reporting for beam management</w:t>
      </w:r>
      <w:r>
        <w:rPr>
          <w:rFonts w:eastAsia="Times New Roman"/>
        </w:rPr>
        <w:t>:</w:t>
      </w:r>
    </w:p>
    <w:p w14:paraId="69F08591" w14:textId="77777777" w:rsidR="0081069B" w:rsidRDefault="0081069B" w:rsidP="0081069B">
      <w:pPr>
        <w:jc w:val="center"/>
        <w:rPr>
          <w:noProof/>
        </w:rPr>
      </w:pPr>
      <w:r>
        <w:rPr>
          <w:noProof/>
        </w:rPr>
        <w:object w:dxaOrig="4465" w:dyaOrig="3480" w14:anchorId="69E6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2pt;height:173.95pt;mso-width-percent:0;mso-height-percent:0;mso-width-percent:0;mso-height-percent:0" o:ole="">
            <v:imagedata r:id="rId8" o:title=""/>
          </v:shape>
          <o:OLEObject Type="Embed" ProgID="Visio.Drawing.15" ShapeID="_x0000_i1025" DrawAspect="Content" ObjectID="_1800440660" r:id="rId9"/>
        </w:object>
      </w:r>
    </w:p>
    <w:p w14:paraId="16C28752" w14:textId="77777777" w:rsidR="0081069B" w:rsidRDefault="0081069B" w:rsidP="0081069B">
      <w:pPr>
        <w:jc w:val="center"/>
      </w:pPr>
      <w:r>
        <w:rPr>
          <w:noProof/>
        </w:rPr>
        <w:t>Figure 1 Applicable functionality reporting</w:t>
      </w:r>
    </w:p>
    <w:p w14:paraId="6D27E6C4" w14:textId="7C2C991D" w:rsidR="00A93631" w:rsidRDefault="00C77992" w:rsidP="00ED5D0F">
      <w:pPr>
        <w:rPr>
          <w:b/>
        </w:rPr>
      </w:pPr>
      <w:r>
        <w:t xml:space="preserve">As shown in </w:t>
      </w:r>
      <w:r w:rsidR="00776FEC">
        <w:t>figure 1</w:t>
      </w:r>
      <w:r>
        <w:t xml:space="preserve">, the UE will report the supported functionalities by </w:t>
      </w:r>
      <w:r w:rsidR="001F1CBE" w:rsidRPr="001F1CBE">
        <w:rPr>
          <w:i/>
        </w:rPr>
        <w:t>UECapablityInformation</w:t>
      </w:r>
      <w:r w:rsidR="001F1CBE" w:rsidRPr="001F1CBE">
        <w:t xml:space="preserve"> </w:t>
      </w:r>
      <w:r w:rsidR="001F1CBE">
        <w:rPr>
          <w:rFonts w:hint="eastAsia"/>
          <w:lang w:eastAsia="zh-CN"/>
        </w:rPr>
        <w:t>message</w:t>
      </w:r>
      <w:r w:rsidR="001F1CBE">
        <w:t xml:space="preserve"> </w:t>
      </w:r>
      <w:r w:rsidR="00BF1A4A">
        <w:t>in step 2</w:t>
      </w:r>
      <w:r>
        <w:t xml:space="preserve">. </w:t>
      </w:r>
    </w:p>
    <w:p w14:paraId="4E4DCDAF" w14:textId="6984E96A" w:rsidR="007120BC" w:rsidRPr="00E63881" w:rsidRDefault="00A74EEE" w:rsidP="007120BC">
      <w:pPr>
        <w:rPr>
          <w:rFonts w:eastAsia="DengXian"/>
          <w:i/>
          <w:lang w:eastAsia="zh-CN"/>
        </w:rPr>
      </w:pPr>
      <w:r>
        <w:t>Based on the LS [1] from RAN1, there are some conclusions on supported functionalities.</w:t>
      </w:r>
    </w:p>
    <w:p w14:paraId="3CBFD25F" w14:textId="77777777" w:rsidR="00A74EEE" w:rsidRPr="00184EB9" w:rsidRDefault="00A74EEE" w:rsidP="00184EB9">
      <w:pPr>
        <w:spacing w:after="0"/>
        <w:rPr>
          <w:rFonts w:ascii="Arial" w:hAnsi="Arial" w:cs="Arial"/>
          <w:i/>
          <w:sz w:val="18"/>
          <w:szCs w:val="18"/>
          <w:lang w:eastAsia="zh-CN"/>
        </w:rPr>
      </w:pPr>
      <w:r w:rsidRPr="00184EB9">
        <w:rPr>
          <w:rFonts w:ascii="Arial" w:hAnsi="Arial" w:cs="Arial"/>
          <w:i/>
          <w:sz w:val="18"/>
          <w:szCs w:val="18"/>
          <w:lang w:eastAsia="zh-CN"/>
        </w:rPr>
        <w:t xml:space="preserve">In RAN1’s </w:t>
      </w:r>
      <w:r w:rsidRPr="00184EB9">
        <w:rPr>
          <w:rFonts w:ascii="Arial" w:hAnsi="Arial" w:cs="Arial" w:hint="eastAsia"/>
          <w:i/>
          <w:sz w:val="18"/>
          <w:szCs w:val="18"/>
          <w:lang w:eastAsia="zh-CN"/>
        </w:rPr>
        <w:t xml:space="preserve">discussion </w:t>
      </w:r>
      <w:r w:rsidRPr="00184EB9">
        <w:rPr>
          <w:rFonts w:ascii="Arial" w:hAnsi="Arial" w:cs="Arial"/>
          <w:i/>
          <w:sz w:val="18"/>
          <w:szCs w:val="18"/>
          <w:lang w:eastAsia="zh-CN"/>
        </w:rPr>
        <w:t>of RAN 2 terminologies</w:t>
      </w:r>
      <w:r w:rsidRPr="00184EB9">
        <w:rPr>
          <w:rFonts w:ascii="Arial" w:hAnsi="Arial" w:cs="Arial" w:hint="eastAsia"/>
          <w:i/>
          <w:sz w:val="18"/>
          <w:szCs w:val="18"/>
          <w:lang w:eastAsia="zh-CN"/>
        </w:rPr>
        <w:t xml:space="preserve"> on beam management</w:t>
      </w:r>
      <w:r w:rsidRPr="00184EB9">
        <w:rPr>
          <w:rFonts w:ascii="Arial" w:hAnsi="Arial" w:cs="Arial"/>
          <w:i/>
          <w:sz w:val="18"/>
          <w:szCs w:val="18"/>
          <w:lang w:eastAsia="zh-CN"/>
        </w:rPr>
        <w:t xml:space="preserve">, </w:t>
      </w:r>
    </w:p>
    <w:p w14:paraId="25F6563D" w14:textId="77777777" w:rsidR="00A74EEE" w:rsidRPr="00184EB9" w:rsidRDefault="00A74EEE" w:rsidP="00184EB9">
      <w:pPr>
        <w:pStyle w:val="ListParagraph"/>
        <w:numPr>
          <w:ilvl w:val="0"/>
          <w:numId w:val="17"/>
        </w:numPr>
        <w:overflowPunct/>
        <w:autoSpaceDE/>
        <w:autoSpaceDN/>
        <w:adjustRightInd/>
        <w:spacing w:before="156" w:after="0" w:line="278" w:lineRule="auto"/>
        <w:contextualSpacing w:val="0"/>
        <w:textAlignment w:val="auto"/>
        <w:rPr>
          <w:rFonts w:ascii="Arial" w:eastAsia="Malgun Gothic" w:hAnsi="Arial" w:cs="Arial"/>
          <w:i/>
          <w:sz w:val="18"/>
          <w:szCs w:val="18"/>
          <w:highlight w:val="yellow"/>
          <w:lang w:val="en-US" w:eastAsia="zh-CN"/>
        </w:rPr>
      </w:pPr>
      <w:r w:rsidRPr="00184EB9">
        <w:rPr>
          <w:rFonts w:ascii="Arial" w:eastAsia="Malgun Gothic" w:hAnsi="Arial" w:cs="Arial"/>
          <w:i/>
          <w:sz w:val="18"/>
          <w:szCs w:val="18"/>
          <w:highlight w:val="yellow"/>
          <w:lang w:val="en-US" w:eastAsia="zh-CN"/>
        </w:rPr>
        <w:t>The</w:t>
      </w:r>
      <w:r w:rsidRPr="00184EB9">
        <w:rPr>
          <w:rFonts w:ascii="Arial" w:eastAsia="Malgun Gothic" w:hAnsi="Arial" w:cs="Arial" w:hint="eastAsia"/>
          <w:i/>
          <w:sz w:val="18"/>
          <w:szCs w:val="18"/>
          <w:highlight w:val="yellow"/>
          <w:lang w:val="en-US" w:eastAsia="zh-CN"/>
        </w:rPr>
        <w:t xml:space="preserve"> concept/terminology</w:t>
      </w:r>
      <w:r w:rsidRPr="00184EB9">
        <w:rPr>
          <w:rFonts w:ascii="Arial" w:eastAsia="Malgun Gothic" w:hAnsi="Arial" w:cs="Arial"/>
          <w:i/>
          <w:sz w:val="18"/>
          <w:szCs w:val="18"/>
          <w:highlight w:val="yellow"/>
          <w:lang w:val="en-US" w:eastAsia="zh-CN"/>
        </w:rPr>
        <w:t xml:space="preserve"> “functionality</w:t>
      </w:r>
      <w:r w:rsidRPr="00184EB9">
        <w:rPr>
          <w:rFonts w:ascii="Arial" w:hAnsi="Arial" w:cs="Arial"/>
          <w:i/>
          <w:sz w:val="18"/>
          <w:szCs w:val="18"/>
          <w:highlight w:val="yellow"/>
          <w:lang w:eastAsia="zh-CN"/>
        </w:rPr>
        <w:t xml:space="preserve">” </w:t>
      </w:r>
      <w:r w:rsidRPr="00184EB9">
        <w:rPr>
          <w:rFonts w:ascii="Arial" w:eastAsia="Malgun Gothic" w:hAnsi="Arial" w:cs="Arial"/>
          <w:i/>
          <w:sz w:val="18"/>
          <w:szCs w:val="18"/>
          <w:highlight w:val="yellow"/>
          <w:lang w:val="en-US" w:eastAsia="zh-CN"/>
        </w:rPr>
        <w:t xml:space="preserve">of </w:t>
      </w:r>
      <w:r w:rsidRPr="00184EB9">
        <w:rPr>
          <w:rFonts w:ascii="Arial" w:eastAsia="Malgun Gothic" w:hAnsi="Arial" w:cs="Arial"/>
          <w:b/>
          <w:bCs/>
          <w:i/>
          <w:sz w:val="18"/>
          <w:szCs w:val="18"/>
          <w:highlight w:val="yellow"/>
          <w:lang w:val="en-US" w:eastAsia="zh-CN"/>
        </w:rPr>
        <w:t>Supported functionalities</w:t>
      </w:r>
      <w:r w:rsidRPr="00184EB9">
        <w:rPr>
          <w:rFonts w:ascii="Arial" w:eastAsia="Malgun Gothic" w:hAnsi="Arial" w:cs="Arial"/>
          <w:i/>
          <w:sz w:val="18"/>
          <w:szCs w:val="18"/>
          <w:highlight w:val="yellow"/>
          <w:lang w:val="en-US" w:eastAsia="zh-CN"/>
        </w:rPr>
        <w:t xml:space="preserve"> may refer to UE-capability information/parameters i.e., Rel-19 AI/ML-enabled Features/FGs</w:t>
      </w:r>
      <w:r w:rsidRPr="00184EB9">
        <w:rPr>
          <w:rFonts w:ascii="Arial" w:hAnsi="Arial" w:cs="Arial"/>
          <w:i/>
          <w:sz w:val="18"/>
          <w:szCs w:val="18"/>
          <w:highlight w:val="yellow"/>
          <w:lang w:eastAsia="zh-CN"/>
        </w:rPr>
        <w:t xml:space="preserve"> </w:t>
      </w:r>
    </w:p>
    <w:p w14:paraId="76571FD3" w14:textId="77777777" w:rsidR="00A74EEE" w:rsidRPr="00184EB9" w:rsidRDefault="00A74EEE" w:rsidP="00184EB9">
      <w:pPr>
        <w:pStyle w:val="ListParagraph"/>
        <w:numPr>
          <w:ilvl w:val="0"/>
          <w:numId w:val="17"/>
        </w:numPr>
        <w:overflowPunct/>
        <w:autoSpaceDE/>
        <w:autoSpaceDN/>
        <w:adjustRightInd/>
        <w:spacing w:after="0" w:line="278" w:lineRule="auto"/>
        <w:contextualSpacing w:val="0"/>
        <w:textAlignment w:val="auto"/>
        <w:rPr>
          <w:rFonts w:ascii="Arial" w:eastAsia="Malgun Gothic" w:hAnsi="Arial" w:cs="Arial"/>
          <w:i/>
          <w:sz w:val="18"/>
          <w:szCs w:val="18"/>
          <w:lang w:val="en-US" w:eastAsia="zh-CN"/>
        </w:rPr>
      </w:pPr>
      <w:r w:rsidRPr="00184EB9">
        <w:rPr>
          <w:rFonts w:ascii="Arial" w:eastAsia="Malgun Gothic" w:hAnsi="Arial" w:cs="Arial"/>
          <w:i/>
          <w:sz w:val="18"/>
          <w:szCs w:val="18"/>
          <w:lang w:val="en-US" w:eastAsia="zh-CN"/>
        </w:rPr>
        <w:t xml:space="preserve">The </w:t>
      </w:r>
      <w:r w:rsidRPr="00184EB9">
        <w:rPr>
          <w:rFonts w:ascii="Arial" w:eastAsia="Malgun Gothic" w:hAnsi="Arial" w:cs="Arial" w:hint="eastAsia"/>
          <w:i/>
          <w:sz w:val="18"/>
          <w:szCs w:val="18"/>
          <w:lang w:val="en-US" w:eastAsia="zh-CN"/>
        </w:rPr>
        <w:t>concept/terminology</w:t>
      </w:r>
      <w:r w:rsidRPr="00184EB9">
        <w:rPr>
          <w:rFonts w:ascii="Arial" w:eastAsia="Malgun Gothic" w:hAnsi="Arial" w:cs="Arial"/>
          <w:i/>
          <w:sz w:val="18"/>
          <w:szCs w:val="18"/>
          <w:lang w:val="en-US" w:eastAsia="zh-CN"/>
        </w:rPr>
        <w:t xml:space="preserve"> “functionality</w:t>
      </w:r>
      <w:r w:rsidRPr="00184EB9">
        <w:rPr>
          <w:rFonts w:ascii="Arial" w:hAnsi="Arial" w:cs="Arial"/>
          <w:i/>
          <w:sz w:val="18"/>
          <w:szCs w:val="18"/>
          <w:lang w:eastAsia="zh-CN"/>
        </w:rPr>
        <w:t xml:space="preserve">” </w:t>
      </w:r>
      <w:r w:rsidRPr="00184EB9">
        <w:rPr>
          <w:rFonts w:ascii="Arial" w:eastAsia="Malgun Gothic" w:hAnsi="Arial" w:cs="Arial"/>
          <w:i/>
          <w:sz w:val="18"/>
          <w:szCs w:val="18"/>
          <w:lang w:val="en-US" w:eastAsia="zh-CN"/>
        </w:rPr>
        <w:t xml:space="preserve">of </w:t>
      </w:r>
      <w:r w:rsidRPr="00184EB9">
        <w:rPr>
          <w:rFonts w:ascii="Arial" w:eastAsia="Malgun Gothic" w:hAnsi="Arial" w:cs="Arial"/>
          <w:b/>
          <w:bCs/>
          <w:i/>
          <w:sz w:val="18"/>
          <w:szCs w:val="18"/>
          <w:lang w:val="en-US" w:eastAsia="zh-CN"/>
        </w:rPr>
        <w:t>Applicable functionalities</w:t>
      </w:r>
      <w:r w:rsidRPr="00184EB9">
        <w:rPr>
          <w:rFonts w:ascii="Arial" w:eastAsia="Malgun Gothic" w:hAnsi="Arial" w:cs="Arial"/>
          <w:i/>
          <w:sz w:val="18"/>
          <w:szCs w:val="18"/>
          <w:lang w:val="en-US" w:eastAsia="zh-CN"/>
        </w:rPr>
        <w:t xml:space="preserve"> may refer to </w:t>
      </w:r>
      <w:r w:rsidRPr="00184EB9">
        <w:rPr>
          <w:rFonts w:ascii="Arial" w:eastAsia="Malgun Gothic" w:hAnsi="Arial" w:cs="Arial"/>
          <w:i/>
          <w:iCs/>
          <w:sz w:val="18"/>
          <w:szCs w:val="18"/>
          <w:lang w:val="en-US" w:eastAsia="zh-CN"/>
        </w:rPr>
        <w:t>CSI-ReportConfig</w:t>
      </w:r>
      <w:r w:rsidRPr="00184EB9">
        <w:rPr>
          <w:rFonts w:ascii="Arial" w:eastAsia="Malgun Gothic" w:hAnsi="Arial" w:cs="Arial"/>
          <w:i/>
          <w:sz w:val="18"/>
          <w:szCs w:val="18"/>
          <w:lang w:val="en-US" w:eastAsia="zh-CN"/>
        </w:rPr>
        <w:t xml:space="preserve"> for inference configuration or a set of inference related parameters </w:t>
      </w:r>
    </w:p>
    <w:p w14:paraId="076CCE4D" w14:textId="77777777" w:rsidR="00A74EEE" w:rsidRPr="00184EB9" w:rsidRDefault="00A74EEE" w:rsidP="00184EB9">
      <w:pPr>
        <w:pStyle w:val="ListParagraph"/>
        <w:numPr>
          <w:ilvl w:val="0"/>
          <w:numId w:val="17"/>
        </w:numPr>
        <w:tabs>
          <w:tab w:val="left" w:pos="360"/>
          <w:tab w:val="left" w:pos="709"/>
        </w:tabs>
        <w:overflowPunct/>
        <w:autoSpaceDE/>
        <w:autoSpaceDN/>
        <w:adjustRightInd/>
        <w:spacing w:after="156" w:line="278" w:lineRule="auto"/>
        <w:contextualSpacing w:val="0"/>
        <w:textAlignment w:val="auto"/>
        <w:rPr>
          <w:rFonts w:ascii="Arial" w:eastAsia="Malgun Gothic" w:hAnsi="Arial" w:cs="Arial"/>
          <w:i/>
          <w:sz w:val="18"/>
          <w:szCs w:val="18"/>
          <w:lang w:val="en-US" w:eastAsia="zh-CN"/>
        </w:rPr>
      </w:pPr>
      <w:r w:rsidRPr="00184EB9">
        <w:rPr>
          <w:rFonts w:ascii="Arial" w:eastAsia="Malgun Gothic" w:hAnsi="Arial" w:cs="Arial"/>
          <w:i/>
          <w:sz w:val="18"/>
          <w:szCs w:val="18"/>
          <w:lang w:val="en-US" w:eastAsia="zh-CN"/>
        </w:rPr>
        <w:t xml:space="preserve">The </w:t>
      </w:r>
      <w:r w:rsidRPr="00184EB9">
        <w:rPr>
          <w:rFonts w:ascii="Arial" w:eastAsia="Malgun Gothic" w:hAnsi="Arial" w:cs="Arial"/>
          <w:b/>
          <w:bCs/>
          <w:i/>
          <w:sz w:val="18"/>
          <w:szCs w:val="18"/>
          <w:lang w:val="en-US" w:eastAsia="zh-CN"/>
        </w:rPr>
        <w:t>Activated functionalities</w:t>
      </w:r>
      <w:r w:rsidRPr="00184EB9">
        <w:rPr>
          <w:rFonts w:ascii="Arial" w:eastAsia="Malgun Gothic" w:hAnsi="Arial" w:cs="Arial" w:hint="eastAsia"/>
          <w:i/>
          <w:sz w:val="18"/>
          <w:szCs w:val="18"/>
          <w:lang w:val="en-US" w:eastAsia="zh-CN"/>
        </w:rPr>
        <w:t xml:space="preserve"> </w:t>
      </w:r>
      <w:r w:rsidRPr="00184EB9">
        <w:rPr>
          <w:rFonts w:ascii="Arial" w:eastAsia="Malgun Gothic" w:hAnsi="Arial" w:cs="Arial"/>
          <w:i/>
          <w:sz w:val="18"/>
          <w:szCs w:val="18"/>
          <w:lang w:val="en-US" w:eastAsia="zh-CN"/>
        </w:rPr>
        <w:t xml:space="preserve">may </w:t>
      </w:r>
      <w:r w:rsidRPr="00184EB9">
        <w:rPr>
          <w:rFonts w:ascii="Arial" w:eastAsia="Malgun Gothic" w:hAnsi="Arial" w:cs="Arial" w:hint="eastAsia"/>
          <w:i/>
          <w:sz w:val="18"/>
          <w:szCs w:val="18"/>
          <w:lang w:val="en-US" w:eastAsia="zh-CN"/>
        </w:rPr>
        <w:t>be enabled based on CSI framework.</w:t>
      </w:r>
    </w:p>
    <w:p w14:paraId="74332222" w14:textId="77777777" w:rsidR="00A74EEE" w:rsidRPr="00184EB9" w:rsidRDefault="00A74EEE" w:rsidP="00A74EEE">
      <w:pPr>
        <w:rPr>
          <w:rFonts w:ascii="Arial" w:hAnsi="Arial" w:cs="Arial"/>
          <w:i/>
          <w:strike/>
          <w:color w:val="FF0000"/>
          <w:sz w:val="18"/>
          <w:szCs w:val="18"/>
          <w:lang w:eastAsia="zh-CN"/>
        </w:rPr>
      </w:pPr>
      <w:r w:rsidRPr="00184EB9">
        <w:rPr>
          <w:rFonts w:ascii="Arial" w:hAnsi="Arial" w:cs="Arial" w:hint="eastAsia"/>
          <w:i/>
          <w:sz w:val="18"/>
          <w:szCs w:val="18"/>
          <w:lang w:eastAsia="zh-CN"/>
        </w:rPr>
        <w:t>Therefore, t</w:t>
      </w:r>
      <w:r w:rsidRPr="00184EB9">
        <w:rPr>
          <w:rFonts w:ascii="Arial" w:hAnsi="Arial" w:cs="Arial"/>
          <w:i/>
          <w:sz w:val="18"/>
          <w:szCs w:val="18"/>
          <w:lang w:eastAsia="zh-CN"/>
        </w:rPr>
        <w:t xml:space="preserve">he meaning and the granularity of “functionality” for </w:t>
      </w:r>
      <w:r w:rsidRPr="00184EB9">
        <w:rPr>
          <w:rFonts w:ascii="Arial" w:hAnsi="Arial" w:cs="Arial"/>
          <w:b/>
          <w:bCs/>
          <w:i/>
          <w:sz w:val="18"/>
          <w:szCs w:val="18"/>
          <w:lang w:eastAsia="zh-CN"/>
        </w:rPr>
        <w:t xml:space="preserve">Applicable functionalities, Activated functionalities and Supported functionalities </w:t>
      </w:r>
      <w:r w:rsidRPr="00184EB9">
        <w:rPr>
          <w:rFonts w:ascii="Arial" w:hAnsi="Arial" w:cs="Arial"/>
          <w:i/>
          <w:sz w:val="18"/>
          <w:szCs w:val="18"/>
          <w:lang w:eastAsia="zh-CN"/>
        </w:rPr>
        <w:t xml:space="preserve">may or may not be the same. </w:t>
      </w:r>
    </w:p>
    <w:p w14:paraId="2876FBDA" w14:textId="7DAC38D0" w:rsidR="00ED5D0F" w:rsidRDefault="00693E46" w:rsidP="00ED5D0F">
      <w:r>
        <w:t xml:space="preserve">To </w:t>
      </w:r>
      <w:r w:rsidR="00ED5D0F">
        <w:t xml:space="preserve">enable the identification of the supported functionalities between UE and NW, it is an intuitive idea to introduce the functionality identification (ID) for each supported functionality. </w:t>
      </w:r>
      <w:r>
        <w:t xml:space="preserve">As shown in the LS [1], the granularity of supported functionalities may be feature/FGs. </w:t>
      </w:r>
    </w:p>
    <w:p w14:paraId="77A893E3" w14:textId="61771E0C" w:rsidR="00ED5D0F" w:rsidRDefault="00ED5D0F" w:rsidP="00ED5D0F">
      <w:pPr>
        <w:rPr>
          <w:b/>
        </w:rPr>
      </w:pPr>
      <w:r w:rsidRPr="002B6083">
        <w:rPr>
          <w:b/>
        </w:rPr>
        <w:t xml:space="preserve">Proposal 1: UE reports functionality </w:t>
      </w:r>
      <w:r>
        <w:rPr>
          <w:b/>
        </w:rPr>
        <w:t>ID</w:t>
      </w:r>
      <w:r w:rsidR="00693E46">
        <w:rPr>
          <w:b/>
        </w:rPr>
        <w:t>s</w:t>
      </w:r>
      <w:r w:rsidRPr="002B6083">
        <w:rPr>
          <w:b/>
        </w:rPr>
        <w:t xml:space="preserve"> </w:t>
      </w:r>
      <w:r>
        <w:rPr>
          <w:b/>
        </w:rPr>
        <w:t xml:space="preserve">of </w:t>
      </w:r>
      <w:r w:rsidRPr="002B6083">
        <w:rPr>
          <w:b/>
        </w:rPr>
        <w:t>supported functionalities</w:t>
      </w:r>
      <w:r w:rsidR="00693E46">
        <w:rPr>
          <w:b/>
        </w:rPr>
        <w:t>, i.e., in the granularity of</w:t>
      </w:r>
      <w:r w:rsidRPr="002B6083">
        <w:rPr>
          <w:b/>
        </w:rPr>
        <w:t xml:space="preserve"> </w:t>
      </w:r>
      <w:r w:rsidR="00693E46">
        <w:rPr>
          <w:b/>
        </w:rPr>
        <w:t xml:space="preserve">AI/ML-enabled feature/FGs, </w:t>
      </w:r>
      <w:r>
        <w:rPr>
          <w:rFonts w:hint="eastAsia"/>
          <w:b/>
        </w:rPr>
        <w:t>in</w:t>
      </w:r>
      <w:r>
        <w:rPr>
          <w:b/>
        </w:rPr>
        <w:t xml:space="preserve"> </w:t>
      </w:r>
      <w:r w:rsidRPr="001F1CBE">
        <w:rPr>
          <w:b/>
          <w:i/>
        </w:rPr>
        <w:t>UECapablityInformation</w:t>
      </w:r>
      <w:r w:rsidRPr="001F1CBE">
        <w:rPr>
          <w:b/>
        </w:rPr>
        <w:t xml:space="preserve"> message</w:t>
      </w:r>
      <w:r w:rsidRPr="002B6083">
        <w:rPr>
          <w:b/>
        </w:rPr>
        <w:t>.</w:t>
      </w:r>
    </w:p>
    <w:p w14:paraId="44BE8FC8" w14:textId="7F59730E" w:rsidR="00A45798" w:rsidRDefault="00A45798" w:rsidP="00A45798">
      <w:pPr>
        <w:pStyle w:val="Heading2"/>
        <w:numPr>
          <w:ilvl w:val="1"/>
          <w:numId w:val="7"/>
        </w:numPr>
      </w:pPr>
      <w:r>
        <w:t xml:space="preserve">Applicable </w:t>
      </w:r>
      <w:r w:rsidR="00841291">
        <w:t xml:space="preserve">Functionality </w:t>
      </w:r>
      <w:r>
        <w:t>Content and Reporting</w:t>
      </w:r>
    </w:p>
    <w:p w14:paraId="055C1988" w14:textId="77777777" w:rsidR="00691256" w:rsidRPr="00691256" w:rsidRDefault="00691256" w:rsidP="00691256">
      <w:pPr>
        <w:pStyle w:val="ListParagraph"/>
        <w:keepNext/>
        <w:keepLines/>
        <w:numPr>
          <w:ilvl w:val="0"/>
          <w:numId w:val="9"/>
        </w:numPr>
        <w:tabs>
          <w:tab w:val="left" w:pos="990"/>
        </w:tabs>
        <w:spacing w:before="120"/>
        <w:contextualSpacing w:val="0"/>
        <w:outlineLvl w:val="2"/>
        <w:rPr>
          <w:rFonts w:ascii="Arial" w:hAnsi="Arial"/>
          <w:vanish/>
          <w:sz w:val="28"/>
        </w:rPr>
      </w:pPr>
    </w:p>
    <w:p w14:paraId="3BB00099" w14:textId="77777777" w:rsidR="00691256" w:rsidRPr="00691256" w:rsidRDefault="00691256" w:rsidP="00691256">
      <w:pPr>
        <w:pStyle w:val="ListParagraph"/>
        <w:keepNext/>
        <w:keepLines/>
        <w:numPr>
          <w:ilvl w:val="0"/>
          <w:numId w:val="9"/>
        </w:numPr>
        <w:tabs>
          <w:tab w:val="left" w:pos="990"/>
        </w:tabs>
        <w:spacing w:before="120"/>
        <w:contextualSpacing w:val="0"/>
        <w:outlineLvl w:val="2"/>
        <w:rPr>
          <w:rFonts w:ascii="Arial" w:hAnsi="Arial"/>
          <w:vanish/>
          <w:sz w:val="28"/>
        </w:rPr>
      </w:pPr>
    </w:p>
    <w:p w14:paraId="15297CA6" w14:textId="77777777" w:rsidR="00691256" w:rsidRPr="00691256" w:rsidRDefault="00691256" w:rsidP="00691256">
      <w:pPr>
        <w:pStyle w:val="ListParagraph"/>
        <w:keepNext/>
        <w:keepLines/>
        <w:numPr>
          <w:ilvl w:val="1"/>
          <w:numId w:val="9"/>
        </w:numPr>
        <w:tabs>
          <w:tab w:val="left" w:pos="990"/>
        </w:tabs>
        <w:spacing w:before="120"/>
        <w:contextualSpacing w:val="0"/>
        <w:outlineLvl w:val="2"/>
        <w:rPr>
          <w:rFonts w:ascii="Arial" w:hAnsi="Arial"/>
          <w:vanish/>
          <w:sz w:val="28"/>
        </w:rPr>
      </w:pPr>
    </w:p>
    <w:p w14:paraId="4F8D78A3" w14:textId="77777777" w:rsidR="00691256" w:rsidRPr="00691256" w:rsidRDefault="00691256" w:rsidP="00691256">
      <w:pPr>
        <w:pStyle w:val="ListParagraph"/>
        <w:keepNext/>
        <w:keepLines/>
        <w:numPr>
          <w:ilvl w:val="1"/>
          <w:numId w:val="9"/>
        </w:numPr>
        <w:tabs>
          <w:tab w:val="left" w:pos="990"/>
        </w:tabs>
        <w:spacing w:before="120"/>
        <w:contextualSpacing w:val="0"/>
        <w:outlineLvl w:val="2"/>
        <w:rPr>
          <w:rFonts w:ascii="Arial" w:hAnsi="Arial"/>
          <w:vanish/>
          <w:sz w:val="28"/>
        </w:rPr>
      </w:pPr>
    </w:p>
    <w:p w14:paraId="4679A4C2" w14:textId="694FF04F" w:rsidR="00691256" w:rsidRPr="001A0218" w:rsidRDefault="00691256" w:rsidP="00691256">
      <w:pPr>
        <w:pStyle w:val="Heading3"/>
        <w:numPr>
          <w:ilvl w:val="2"/>
          <w:numId w:val="9"/>
        </w:numPr>
        <w:tabs>
          <w:tab w:val="left" w:pos="810"/>
        </w:tabs>
        <w:ind w:left="540"/>
      </w:pPr>
      <w:r>
        <w:t xml:space="preserve">Content of </w:t>
      </w:r>
      <w:r w:rsidR="00841291">
        <w:t>Applicable Functionality Information</w:t>
      </w:r>
    </w:p>
    <w:p w14:paraId="3A5CEE86" w14:textId="77777777" w:rsidR="009B6101" w:rsidRPr="009B6101" w:rsidRDefault="009B6101" w:rsidP="002F705B">
      <w:pPr>
        <w:pStyle w:val="ListParagraph"/>
        <w:keepNext/>
        <w:keepLines/>
        <w:numPr>
          <w:ilvl w:val="0"/>
          <w:numId w:val="9"/>
        </w:numPr>
        <w:tabs>
          <w:tab w:val="left" w:pos="990"/>
        </w:tabs>
        <w:spacing w:before="120"/>
        <w:contextualSpacing w:val="0"/>
        <w:outlineLvl w:val="2"/>
        <w:rPr>
          <w:rFonts w:ascii="Arial" w:hAnsi="Arial"/>
          <w:vanish/>
          <w:sz w:val="28"/>
        </w:rPr>
      </w:pPr>
    </w:p>
    <w:p w14:paraId="574C5430" w14:textId="77777777" w:rsidR="009B6101" w:rsidRPr="009B6101" w:rsidRDefault="009B6101" w:rsidP="002F705B">
      <w:pPr>
        <w:pStyle w:val="ListParagraph"/>
        <w:keepNext/>
        <w:keepLines/>
        <w:numPr>
          <w:ilvl w:val="0"/>
          <w:numId w:val="9"/>
        </w:numPr>
        <w:tabs>
          <w:tab w:val="left" w:pos="990"/>
        </w:tabs>
        <w:spacing w:before="120"/>
        <w:contextualSpacing w:val="0"/>
        <w:outlineLvl w:val="2"/>
        <w:rPr>
          <w:rFonts w:ascii="Arial" w:hAnsi="Arial"/>
          <w:vanish/>
          <w:sz w:val="28"/>
        </w:rPr>
      </w:pPr>
    </w:p>
    <w:p w14:paraId="002F17B7" w14:textId="77777777" w:rsidR="009B6101" w:rsidRPr="009B6101" w:rsidRDefault="009B6101" w:rsidP="002F705B">
      <w:pPr>
        <w:pStyle w:val="ListParagraph"/>
        <w:keepNext/>
        <w:keepLines/>
        <w:numPr>
          <w:ilvl w:val="1"/>
          <w:numId w:val="9"/>
        </w:numPr>
        <w:tabs>
          <w:tab w:val="left" w:pos="990"/>
        </w:tabs>
        <w:spacing w:before="120"/>
        <w:contextualSpacing w:val="0"/>
        <w:outlineLvl w:val="2"/>
        <w:rPr>
          <w:rFonts w:ascii="Arial" w:hAnsi="Arial"/>
          <w:vanish/>
          <w:sz w:val="28"/>
        </w:rPr>
      </w:pPr>
    </w:p>
    <w:p w14:paraId="7C649C6E" w14:textId="77777777" w:rsidR="009B6101" w:rsidRPr="009B6101" w:rsidRDefault="009B6101" w:rsidP="002F705B">
      <w:pPr>
        <w:pStyle w:val="ListParagraph"/>
        <w:keepNext/>
        <w:keepLines/>
        <w:numPr>
          <w:ilvl w:val="1"/>
          <w:numId w:val="9"/>
        </w:numPr>
        <w:tabs>
          <w:tab w:val="left" w:pos="990"/>
        </w:tabs>
        <w:spacing w:before="120"/>
        <w:contextualSpacing w:val="0"/>
        <w:outlineLvl w:val="2"/>
        <w:rPr>
          <w:rFonts w:ascii="Arial" w:hAnsi="Arial"/>
          <w:vanish/>
          <w:sz w:val="28"/>
        </w:rPr>
      </w:pPr>
    </w:p>
    <w:p w14:paraId="27E92CA2" w14:textId="77777777" w:rsidR="009B6101" w:rsidRPr="009B6101" w:rsidRDefault="009B6101" w:rsidP="002F705B">
      <w:pPr>
        <w:pStyle w:val="ListParagraph"/>
        <w:keepNext/>
        <w:keepLines/>
        <w:numPr>
          <w:ilvl w:val="1"/>
          <w:numId w:val="9"/>
        </w:numPr>
        <w:tabs>
          <w:tab w:val="left" w:pos="990"/>
        </w:tabs>
        <w:spacing w:before="120"/>
        <w:contextualSpacing w:val="0"/>
        <w:outlineLvl w:val="2"/>
        <w:rPr>
          <w:rFonts w:ascii="Arial" w:hAnsi="Arial"/>
          <w:vanish/>
          <w:sz w:val="28"/>
        </w:rPr>
      </w:pPr>
    </w:p>
    <w:p w14:paraId="17439634" w14:textId="5B8C47DE" w:rsidR="0014166B" w:rsidRDefault="0014166B" w:rsidP="00A739D6">
      <w:pPr>
        <w:overflowPunct/>
        <w:autoSpaceDE/>
        <w:autoSpaceDN/>
        <w:adjustRightInd/>
        <w:spacing w:before="100" w:beforeAutospacing="1" w:after="100" w:afterAutospacing="1"/>
        <w:textAlignment w:val="auto"/>
      </w:pPr>
      <w:r>
        <w:t xml:space="preserve">The reporting of applicable functionality information can assist the NW to identify the one(s) </w:t>
      </w:r>
      <w:r>
        <w:rPr>
          <w:rFonts w:hint="eastAsia"/>
          <w:lang w:eastAsia="zh-CN"/>
        </w:rPr>
        <w:t>which</w:t>
      </w:r>
      <w:r>
        <w:t xml:space="preserve"> can be chosen for activation. If the functionality ID is defined and introduced, it is straightforward to explicitly report the functionality ID of the applicable functionality</w:t>
      </w:r>
      <w:r w:rsidR="00A739D6" w:rsidRPr="0014166B">
        <w:t>, as previously reported in the supported functionalities.</w:t>
      </w:r>
      <w:r>
        <w:t xml:space="preserve"> </w:t>
      </w:r>
    </w:p>
    <w:p w14:paraId="4267B44B" w14:textId="0CE5A638" w:rsidR="00E64987" w:rsidRDefault="0081069B" w:rsidP="00E64987">
      <w:r>
        <w:t xml:space="preserve">As </w:t>
      </w:r>
      <w:r w:rsidR="00F23C38">
        <w:t xml:space="preserve">mentioned in the above section, the UE </w:t>
      </w:r>
      <w:r w:rsidR="0014166B">
        <w:t xml:space="preserve">initially </w:t>
      </w:r>
      <w:r w:rsidR="00F23C38">
        <w:t>reports the supported functionalities</w:t>
      </w:r>
      <w:r w:rsidR="00CB3848">
        <w:t xml:space="preserve">, e.g., functionality ID, </w:t>
      </w:r>
      <w:r w:rsidR="00F23C38">
        <w:t xml:space="preserve">to the NW. </w:t>
      </w:r>
      <w:r w:rsidR="0014166B">
        <w:t>Subsequently</w:t>
      </w:r>
      <w:r w:rsidR="00F23C38">
        <w:t xml:space="preserve">, </w:t>
      </w:r>
      <w:r w:rsidR="0014166B">
        <w:t>it</w:t>
      </w:r>
      <w:r w:rsidR="00F23C38">
        <w:t xml:space="preserve"> report</w:t>
      </w:r>
      <w:r w:rsidR="0014166B">
        <w:t>s</w:t>
      </w:r>
      <w:r w:rsidR="00F23C38">
        <w:t xml:space="preserve"> the applicable functionality information. The alternative solution </w:t>
      </w:r>
      <w:r w:rsidR="0014166B">
        <w:t>may be</w:t>
      </w:r>
      <w:r w:rsidR="00F23C38">
        <w:t xml:space="preserve"> to report implicit information for the applicable functionalities. For the implicit information, it can be mapped to the supported functionality list and finally used to identify the actual functionality information. </w:t>
      </w:r>
      <w:r w:rsidR="0014166B">
        <w:t xml:space="preserve">Technically speaking, for the implicit reporting scheme, there may be less signalling overhead. </w:t>
      </w:r>
      <w:r w:rsidR="00F23C38">
        <w:t xml:space="preserve">For example, a bitmap can be reported as the applicable functionality information. For each bit in the bitmap, it </w:t>
      </w:r>
      <w:r w:rsidR="00A739D6" w:rsidRPr="0014166B">
        <w:t>corresponds</w:t>
      </w:r>
      <w:r w:rsidR="00F23C38">
        <w:t xml:space="preserve"> to </w:t>
      </w:r>
      <w:r w:rsidR="00A739D6" w:rsidRPr="0014166B">
        <w:t xml:space="preserve">a specific functionality in the </w:t>
      </w:r>
      <w:r w:rsidR="00F23C38">
        <w:t>supported functionality</w:t>
      </w:r>
      <w:r w:rsidR="00A739D6">
        <w:t xml:space="preserve"> reported in </w:t>
      </w:r>
      <w:r w:rsidR="00A739D6">
        <w:lastRenderedPageBreak/>
        <w:t>step 2</w:t>
      </w:r>
      <w:r w:rsidR="00F23C38">
        <w:t xml:space="preserve">. With the above </w:t>
      </w:r>
      <w:r w:rsidR="00EB1DAC">
        <w:t>knowledge</w:t>
      </w:r>
      <w:r w:rsidR="00F23C38">
        <w:t xml:space="preserve">, the NW can </w:t>
      </w:r>
      <w:r w:rsidR="00EB1DAC">
        <w:t xml:space="preserve">still </w:t>
      </w:r>
      <w:r w:rsidR="00F23C38">
        <w:t xml:space="preserve">deduce the explicit </w:t>
      </w:r>
      <w:r w:rsidR="00EB1DAC">
        <w:t xml:space="preserve">functionality ID of the </w:t>
      </w:r>
      <w:r w:rsidR="00F23C38">
        <w:t>applicable functionality information.</w:t>
      </w:r>
    </w:p>
    <w:p w14:paraId="0CA24D04" w14:textId="1341356C" w:rsidR="00F23C38" w:rsidRPr="00EC02D2" w:rsidRDefault="00F23C38" w:rsidP="00E64987">
      <w:pPr>
        <w:rPr>
          <w:b/>
        </w:rPr>
      </w:pPr>
      <w:r w:rsidRPr="00EC02D2">
        <w:rPr>
          <w:b/>
        </w:rPr>
        <w:t xml:space="preserve">Proposal </w:t>
      </w:r>
      <w:r w:rsidR="00C1553D">
        <w:rPr>
          <w:b/>
        </w:rPr>
        <w:t>2</w:t>
      </w:r>
      <w:r w:rsidRPr="00EC02D2">
        <w:rPr>
          <w:b/>
        </w:rPr>
        <w:t xml:space="preserve">: For the content of applicable functionality reporting, the following two </w:t>
      </w:r>
      <w:r w:rsidR="00A739D6">
        <w:rPr>
          <w:b/>
        </w:rPr>
        <w:t>option</w:t>
      </w:r>
      <w:r w:rsidR="00A739D6" w:rsidRPr="00EC02D2">
        <w:rPr>
          <w:b/>
        </w:rPr>
        <w:t xml:space="preserve">s </w:t>
      </w:r>
      <w:r w:rsidRPr="00EC02D2">
        <w:rPr>
          <w:b/>
        </w:rPr>
        <w:t>can be considered:</w:t>
      </w:r>
    </w:p>
    <w:p w14:paraId="0F92EE95" w14:textId="151A1520" w:rsidR="00F23C38" w:rsidRPr="00EC02D2" w:rsidRDefault="00F23C38" w:rsidP="002F705B">
      <w:pPr>
        <w:pStyle w:val="ListParagraph"/>
        <w:numPr>
          <w:ilvl w:val="0"/>
          <w:numId w:val="10"/>
        </w:numPr>
        <w:ind w:left="360"/>
        <w:rPr>
          <w:b/>
        </w:rPr>
      </w:pPr>
      <w:r w:rsidRPr="00EC02D2">
        <w:rPr>
          <w:b/>
        </w:rPr>
        <w:t xml:space="preserve">Opt 1: explicit functionality </w:t>
      </w:r>
      <w:r w:rsidR="000B3B70">
        <w:rPr>
          <w:b/>
        </w:rPr>
        <w:t>ID</w:t>
      </w:r>
      <w:r w:rsidR="000B3B70" w:rsidRPr="00EC02D2">
        <w:rPr>
          <w:b/>
        </w:rPr>
        <w:t xml:space="preserve"> </w:t>
      </w:r>
      <w:r w:rsidRPr="00EC02D2">
        <w:rPr>
          <w:b/>
        </w:rPr>
        <w:t>of the applicable functionality</w:t>
      </w:r>
    </w:p>
    <w:p w14:paraId="3098D3A6" w14:textId="612670C2" w:rsidR="00732D4C" w:rsidRPr="00EC02D2" w:rsidRDefault="00F23C38" w:rsidP="002F705B">
      <w:pPr>
        <w:pStyle w:val="ListParagraph"/>
        <w:numPr>
          <w:ilvl w:val="0"/>
          <w:numId w:val="10"/>
        </w:numPr>
        <w:ind w:left="360"/>
        <w:rPr>
          <w:b/>
          <w:lang w:eastAsia="zh-CN"/>
        </w:rPr>
      </w:pPr>
      <w:r w:rsidRPr="00EC02D2">
        <w:rPr>
          <w:b/>
        </w:rPr>
        <w:t xml:space="preserve">Opt 2: </w:t>
      </w:r>
      <w:r w:rsidR="00732D4C" w:rsidRPr="00EC02D2">
        <w:rPr>
          <w:b/>
        </w:rPr>
        <w:t>implicit information</w:t>
      </w:r>
      <w:r w:rsidR="00732D4C">
        <w:rPr>
          <w:b/>
        </w:rPr>
        <w:t xml:space="preserve"> (e.g., bitmap)</w:t>
      </w:r>
      <w:r w:rsidR="00732D4C" w:rsidRPr="00EC02D2">
        <w:rPr>
          <w:b/>
        </w:rPr>
        <w:t xml:space="preserve"> mapped to the </w:t>
      </w:r>
      <w:r w:rsidR="00732D4C">
        <w:rPr>
          <w:b/>
        </w:rPr>
        <w:t xml:space="preserve">supported </w:t>
      </w:r>
      <w:r w:rsidR="00732D4C" w:rsidRPr="00EC02D2">
        <w:rPr>
          <w:b/>
        </w:rPr>
        <w:t>functionalit</w:t>
      </w:r>
      <w:r w:rsidR="00732D4C">
        <w:rPr>
          <w:b/>
        </w:rPr>
        <w:t>y ID</w:t>
      </w:r>
    </w:p>
    <w:p w14:paraId="270B8D27" w14:textId="77777777" w:rsidR="005E384B" w:rsidRPr="005E384B" w:rsidRDefault="005E384B" w:rsidP="005E384B">
      <w:pPr>
        <w:pStyle w:val="ListParagraph"/>
        <w:keepNext/>
        <w:keepLines/>
        <w:numPr>
          <w:ilvl w:val="0"/>
          <w:numId w:val="28"/>
        </w:numPr>
        <w:tabs>
          <w:tab w:val="left" w:pos="1080"/>
        </w:tabs>
        <w:spacing w:before="120"/>
        <w:contextualSpacing w:val="0"/>
        <w:outlineLvl w:val="2"/>
        <w:rPr>
          <w:rFonts w:ascii="Arial" w:hAnsi="Arial"/>
          <w:vanish/>
          <w:sz w:val="28"/>
        </w:rPr>
      </w:pPr>
    </w:p>
    <w:p w14:paraId="15890A47" w14:textId="77777777" w:rsidR="005E384B" w:rsidRPr="005E384B" w:rsidRDefault="005E384B" w:rsidP="005E384B">
      <w:pPr>
        <w:pStyle w:val="ListParagraph"/>
        <w:keepNext/>
        <w:keepLines/>
        <w:numPr>
          <w:ilvl w:val="0"/>
          <w:numId w:val="28"/>
        </w:numPr>
        <w:tabs>
          <w:tab w:val="left" w:pos="1080"/>
        </w:tabs>
        <w:spacing w:before="120"/>
        <w:contextualSpacing w:val="0"/>
        <w:outlineLvl w:val="2"/>
        <w:rPr>
          <w:rFonts w:ascii="Arial" w:hAnsi="Arial"/>
          <w:vanish/>
          <w:sz w:val="28"/>
        </w:rPr>
      </w:pPr>
    </w:p>
    <w:p w14:paraId="75FAB7C7" w14:textId="77777777" w:rsidR="005E384B" w:rsidRPr="005E384B" w:rsidRDefault="005E384B" w:rsidP="005E384B">
      <w:pPr>
        <w:pStyle w:val="ListParagraph"/>
        <w:keepNext/>
        <w:keepLines/>
        <w:numPr>
          <w:ilvl w:val="1"/>
          <w:numId w:val="28"/>
        </w:numPr>
        <w:tabs>
          <w:tab w:val="left" w:pos="1080"/>
        </w:tabs>
        <w:spacing w:before="120"/>
        <w:contextualSpacing w:val="0"/>
        <w:outlineLvl w:val="2"/>
        <w:rPr>
          <w:rFonts w:ascii="Arial" w:hAnsi="Arial"/>
          <w:vanish/>
          <w:sz w:val="28"/>
        </w:rPr>
      </w:pPr>
    </w:p>
    <w:p w14:paraId="180E3B7A" w14:textId="77777777" w:rsidR="005E384B" w:rsidRPr="005E384B" w:rsidRDefault="005E384B" w:rsidP="005E384B">
      <w:pPr>
        <w:pStyle w:val="ListParagraph"/>
        <w:keepNext/>
        <w:keepLines/>
        <w:numPr>
          <w:ilvl w:val="1"/>
          <w:numId w:val="28"/>
        </w:numPr>
        <w:tabs>
          <w:tab w:val="left" w:pos="1080"/>
        </w:tabs>
        <w:spacing w:before="120"/>
        <w:contextualSpacing w:val="0"/>
        <w:outlineLvl w:val="2"/>
        <w:rPr>
          <w:rFonts w:ascii="Arial" w:hAnsi="Arial"/>
          <w:vanish/>
          <w:sz w:val="28"/>
        </w:rPr>
      </w:pPr>
    </w:p>
    <w:p w14:paraId="797AF97E" w14:textId="77777777" w:rsidR="005E384B" w:rsidRPr="005E384B" w:rsidRDefault="005E384B" w:rsidP="005E384B">
      <w:pPr>
        <w:pStyle w:val="ListParagraph"/>
        <w:keepNext/>
        <w:keepLines/>
        <w:numPr>
          <w:ilvl w:val="2"/>
          <w:numId w:val="28"/>
        </w:numPr>
        <w:tabs>
          <w:tab w:val="left" w:pos="1080"/>
        </w:tabs>
        <w:spacing w:before="120"/>
        <w:contextualSpacing w:val="0"/>
        <w:outlineLvl w:val="2"/>
        <w:rPr>
          <w:rFonts w:ascii="Arial" w:hAnsi="Arial"/>
          <w:vanish/>
          <w:sz w:val="28"/>
        </w:rPr>
      </w:pPr>
    </w:p>
    <w:p w14:paraId="5A33D4E5" w14:textId="750C71E9" w:rsidR="004649D5" w:rsidRDefault="00FC22D2" w:rsidP="005E384B">
      <w:pPr>
        <w:pStyle w:val="Heading3"/>
        <w:numPr>
          <w:ilvl w:val="2"/>
          <w:numId w:val="28"/>
        </w:numPr>
        <w:tabs>
          <w:tab w:val="left" w:pos="720"/>
          <w:tab w:val="left" w:pos="900"/>
        </w:tabs>
        <w:ind w:left="630"/>
      </w:pPr>
      <w:r>
        <w:t>Reporting of a</w:t>
      </w:r>
      <w:r w:rsidR="004649D5">
        <w:t>pplicable functionality</w:t>
      </w:r>
      <w:r>
        <w:t xml:space="preserve"> information</w:t>
      </w:r>
    </w:p>
    <w:p w14:paraId="18F8BFB3" w14:textId="77777777" w:rsidR="002B6E9F" w:rsidRDefault="002B6E9F" w:rsidP="002B6E9F">
      <w:r>
        <w:t>The agreements on inference configuration in [1] are illustrated below:</w:t>
      </w:r>
    </w:p>
    <w:p w14:paraId="19DEE649" w14:textId="77777777" w:rsidR="002B6E9F" w:rsidRPr="007C53BA" w:rsidRDefault="002B6E9F" w:rsidP="002B6E9F">
      <w:pPr>
        <w:spacing w:after="0"/>
        <w:rPr>
          <w:rFonts w:eastAsia="DengXian"/>
          <w:i/>
          <w:highlight w:val="green"/>
          <w:lang w:eastAsia="zh-CN"/>
        </w:rPr>
      </w:pPr>
      <w:r w:rsidRPr="007C53BA">
        <w:rPr>
          <w:rFonts w:eastAsia="DengXian" w:hint="eastAsia"/>
          <w:i/>
          <w:highlight w:val="green"/>
          <w:lang w:eastAsia="zh-CN"/>
        </w:rPr>
        <w:t>Agreement</w:t>
      </w:r>
    </w:p>
    <w:p w14:paraId="17353119" w14:textId="77777777" w:rsidR="002B6E9F" w:rsidRDefault="002B6E9F" w:rsidP="002B6E9F">
      <w:pPr>
        <w:numPr>
          <w:ilvl w:val="0"/>
          <w:numId w:val="27"/>
        </w:numPr>
        <w:overflowPunct/>
        <w:autoSpaceDE/>
        <w:autoSpaceDN/>
        <w:snapToGrid w:val="0"/>
        <w:spacing w:after="0"/>
        <w:textAlignment w:val="auto"/>
        <w:rPr>
          <w:rFonts w:eastAsia="Times New Roman" w:cs="Times"/>
          <w:lang w:eastAsia="zh-CN"/>
        </w:rPr>
      </w:pPr>
      <w:r>
        <w:rPr>
          <w:rFonts w:eastAsia="Times New Roman" w:cs="Times"/>
          <w:lang w:eastAsia="zh-CN"/>
        </w:rPr>
        <w:t>In Step 3, following configurations are provided from NW to UE:</w:t>
      </w:r>
    </w:p>
    <w:p w14:paraId="6EA956DC" w14:textId="77777777" w:rsidR="002B6E9F" w:rsidRDefault="002B6E9F" w:rsidP="002B6E9F">
      <w:pPr>
        <w:numPr>
          <w:ilvl w:val="1"/>
          <w:numId w:val="27"/>
        </w:numPr>
        <w:overflowPunct/>
        <w:autoSpaceDE/>
        <w:autoSpaceDN/>
        <w:snapToGrid w:val="0"/>
        <w:spacing w:after="0"/>
        <w:textAlignment w:val="auto"/>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71761A66" w14:textId="77777777" w:rsidR="002B6E9F" w:rsidRPr="00C72336" w:rsidRDefault="002B6E9F" w:rsidP="002B6E9F">
      <w:pPr>
        <w:numPr>
          <w:ilvl w:val="1"/>
          <w:numId w:val="27"/>
        </w:numPr>
        <w:overflowPunct/>
        <w:autoSpaceDE/>
        <w:autoSpaceDN/>
        <w:snapToGrid w:val="0"/>
        <w:spacing w:after="0"/>
        <w:textAlignment w:val="auto"/>
        <w:rPr>
          <w:rFonts w:eastAsia="Times New Roman" w:cs="Times"/>
          <w:highlight w:val="yellow"/>
          <w:lang w:eastAsia="zh-CN"/>
        </w:rPr>
      </w:pPr>
      <w:r w:rsidRPr="00C72336">
        <w:rPr>
          <w:rFonts w:eastAsia="Times New Roman" w:cs="Times"/>
          <w:highlight w:val="yellow"/>
          <w:lang w:eastAsia="zh-CN"/>
        </w:rPr>
        <w:t xml:space="preserve">The applicability report is based on A) and/or B) </w:t>
      </w:r>
    </w:p>
    <w:p w14:paraId="5ADFAB39" w14:textId="77777777" w:rsidR="002B6E9F" w:rsidRDefault="002B6E9F" w:rsidP="002B6E9F">
      <w:pPr>
        <w:numPr>
          <w:ilvl w:val="2"/>
          <w:numId w:val="27"/>
        </w:numPr>
        <w:overflowPunct/>
        <w:autoSpaceDE/>
        <w:autoSpaceDN/>
        <w:snapToGrid w:val="0"/>
        <w:spacing w:after="0"/>
        <w:textAlignment w:val="auto"/>
        <w:rPr>
          <w:rFonts w:eastAsia="Times New Roman" w:cs="Times"/>
          <w:lang w:eastAsia="zh-CN"/>
        </w:rPr>
      </w:pPr>
      <w:r>
        <w:rPr>
          <w:rFonts w:eastAsia="Times New Roman" w:cs="Times"/>
          <w:lang w:eastAsia="zh-CN"/>
        </w:rPr>
        <w:t xml:space="preserve">It is up to RAN 2 to design the container </w:t>
      </w:r>
    </w:p>
    <w:p w14:paraId="51B88066" w14:textId="77777777" w:rsidR="002B6E9F" w:rsidRDefault="002B6E9F" w:rsidP="002B6E9F">
      <w:pPr>
        <w:numPr>
          <w:ilvl w:val="2"/>
          <w:numId w:val="27"/>
        </w:numPr>
        <w:overflowPunct/>
        <w:autoSpaceDE/>
        <w:autoSpaceDN/>
        <w:snapToGrid w:val="0"/>
        <w:spacing w:after="0"/>
        <w:textAlignment w:val="auto"/>
        <w:rPr>
          <w:rFonts w:eastAsia="Times New Roman" w:cs="Times"/>
          <w:lang w:eastAsia="zh-CN"/>
        </w:rPr>
      </w:pPr>
      <w:r w:rsidRPr="00C72336">
        <w:rPr>
          <w:rFonts w:eastAsia="Times New Roman" w:cs="Times"/>
          <w:highlight w:val="yellow"/>
          <w:lang w:eastAsia="zh-CN"/>
        </w:rPr>
        <w:t>A) one or more of </w:t>
      </w:r>
      <w:r w:rsidRPr="00C72336">
        <w:rPr>
          <w:rFonts w:eastAsia="Times New Roman" w:cs="Times"/>
          <w:i/>
          <w:iCs/>
          <w:highlight w:val="yellow"/>
          <w:lang w:eastAsia="zh-CN"/>
        </w:rPr>
        <w:t>CSI-ReportConfig</w:t>
      </w:r>
      <w:r w:rsidRPr="00C72336">
        <w:rPr>
          <w:rFonts w:eastAsia="Times New Roman" w:cs="Times"/>
          <w:highlight w:val="yellow"/>
          <w:lang w:eastAsia="zh-CN"/>
        </w:rPr>
        <w:t xml:space="preserve"> for inference configuration</w:t>
      </w:r>
      <w:r w:rsidRPr="00C72336">
        <w:rPr>
          <w:rFonts w:eastAsia="Times New Roman" w:cs="Times"/>
          <w:i/>
          <w:iCs/>
          <w:highlight w:val="yellow"/>
          <w:lang w:eastAsia="zh-CN"/>
        </w:rPr>
        <w:t> </w:t>
      </w:r>
      <w:r w:rsidRPr="00C72336">
        <w:rPr>
          <w:rFonts w:eastAsia="Times New Roman" w:cs="Times"/>
          <w:highlight w:val="yellow"/>
          <w:lang w:eastAsia="zh-CN"/>
        </w:rPr>
        <w:t>(wherein the associated ID may be configured in CSI framework as working assumption applied)</w:t>
      </w:r>
      <w:r>
        <w:rPr>
          <w:rFonts w:eastAsia="Times New Roman" w:cs="Times"/>
          <w:i/>
          <w:iCs/>
          <w:lang w:eastAsia="zh-CN"/>
        </w:rPr>
        <w:t xml:space="preserve"> </w:t>
      </w:r>
    </w:p>
    <w:p w14:paraId="2E22A8F7" w14:textId="77777777" w:rsidR="002B6E9F" w:rsidRDefault="002B6E9F" w:rsidP="002B6E9F">
      <w:pPr>
        <w:numPr>
          <w:ilvl w:val="3"/>
          <w:numId w:val="27"/>
        </w:numPr>
        <w:overflowPunct/>
        <w:autoSpaceDE/>
        <w:autoSpaceDN/>
        <w:snapToGrid w:val="0"/>
        <w:spacing w:after="0"/>
        <w:textAlignment w:val="auto"/>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2B8D264" w14:textId="77777777" w:rsidR="002B6E9F" w:rsidRPr="00C72336" w:rsidRDefault="002B6E9F" w:rsidP="002B6E9F">
      <w:pPr>
        <w:numPr>
          <w:ilvl w:val="2"/>
          <w:numId w:val="27"/>
        </w:numPr>
        <w:overflowPunct/>
        <w:autoSpaceDE/>
        <w:autoSpaceDN/>
        <w:snapToGrid w:val="0"/>
        <w:spacing w:after="0"/>
        <w:textAlignment w:val="auto"/>
        <w:rPr>
          <w:rFonts w:eastAsia="Times New Roman" w:cs="Times"/>
          <w:highlight w:val="yellow"/>
          <w:lang w:eastAsia="zh-CN"/>
        </w:rPr>
      </w:pPr>
      <w:r w:rsidRPr="00C72336">
        <w:rPr>
          <w:rFonts w:eastAsia="Times New Roman" w:cs="Times"/>
          <w:highlight w:val="yellow"/>
          <w:lang w:eastAsia="zh-CN"/>
        </w:rPr>
        <w:t>B) One set or multiple sets of inference related parameters for applicability report only (not for inference)</w:t>
      </w:r>
    </w:p>
    <w:p w14:paraId="076C04D2" w14:textId="77777777" w:rsidR="002B6E9F" w:rsidRDefault="002B6E9F" w:rsidP="002B6E9F">
      <w:pPr>
        <w:numPr>
          <w:ilvl w:val="3"/>
          <w:numId w:val="27"/>
        </w:numPr>
        <w:overflowPunct/>
        <w:autoSpaceDE/>
        <w:autoSpaceDN/>
        <w:snapToGrid w:val="0"/>
        <w:spacing w:after="0"/>
        <w:textAlignment w:val="auto"/>
        <w:rPr>
          <w:rFonts w:eastAsia="Times New Roman" w:cs="Times"/>
          <w:lang w:eastAsia="zh-CN"/>
        </w:rPr>
      </w:pPr>
      <w:r>
        <w:rPr>
          <w:rFonts w:eastAsia="Times New Roman" w:cs="Times"/>
        </w:rPr>
        <w:t>It is up to RAN2 to design the container.</w:t>
      </w:r>
    </w:p>
    <w:p w14:paraId="5601B280" w14:textId="77777777" w:rsidR="002B6E9F" w:rsidRDefault="002B6E9F" w:rsidP="002B6E9F">
      <w:pPr>
        <w:numPr>
          <w:ilvl w:val="3"/>
          <w:numId w:val="27"/>
        </w:numPr>
        <w:overflowPunct/>
        <w:autoSpaceDE/>
        <w:autoSpaceDN/>
        <w:snapToGrid w:val="0"/>
        <w:spacing w:after="0"/>
        <w:textAlignment w:val="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1A29AA8A" w14:textId="77777777" w:rsidR="002B6E9F" w:rsidRPr="00C72336" w:rsidRDefault="002B6E9F" w:rsidP="002B6E9F">
      <w:pPr>
        <w:numPr>
          <w:ilvl w:val="4"/>
          <w:numId w:val="27"/>
        </w:numPr>
        <w:overflowPunct/>
        <w:autoSpaceDE/>
        <w:autoSpaceDN/>
        <w:snapToGrid w:val="0"/>
        <w:spacing w:after="0"/>
        <w:textAlignment w:val="auto"/>
        <w:rPr>
          <w:rFonts w:eastAsia="Times New Roman" w:cs="Times"/>
          <w:highlight w:val="yellow"/>
          <w:lang w:eastAsia="zh-CN"/>
        </w:rPr>
      </w:pPr>
      <w:r w:rsidRPr="00C72336">
        <w:rPr>
          <w:rFonts w:eastAsia="Times New Roman" w:cs="Times"/>
          <w:highlight w:val="yellow"/>
          <w:lang w:eastAsia="zh-CN"/>
        </w:rPr>
        <w:t>the associated ID</w:t>
      </w:r>
    </w:p>
    <w:p w14:paraId="4B8036B7" w14:textId="77777777" w:rsidR="002B6E9F" w:rsidRDefault="002B6E9F" w:rsidP="002B6E9F">
      <w:pPr>
        <w:numPr>
          <w:ilvl w:val="5"/>
          <w:numId w:val="27"/>
        </w:numPr>
        <w:overflowPunct/>
        <w:autoSpaceDE/>
        <w:autoSpaceDN/>
        <w:snapToGrid w:val="0"/>
        <w:spacing w:after="0"/>
        <w:textAlignment w:val="auto"/>
        <w:rPr>
          <w:rFonts w:eastAsia="Times New Roman" w:cs="Times"/>
          <w:lang w:eastAsia="zh-CN"/>
        </w:rPr>
      </w:pPr>
      <w:r>
        <w:rPr>
          <w:rFonts w:eastAsia="Times New Roman" w:cs="Times"/>
          <w:lang w:eastAsia="zh-CN"/>
        </w:rPr>
        <w:t xml:space="preserve">Note: this doesn’t imply the associated ID is mandatory </w:t>
      </w:r>
    </w:p>
    <w:p w14:paraId="10BFE85E" w14:textId="77777777" w:rsidR="002B6E9F" w:rsidRDefault="002B6E9F" w:rsidP="002B6E9F">
      <w:pPr>
        <w:numPr>
          <w:ilvl w:val="4"/>
          <w:numId w:val="27"/>
        </w:numPr>
        <w:overflowPunct/>
        <w:autoSpaceDE/>
        <w:autoSpaceDN/>
        <w:snapToGrid w:val="0"/>
        <w:spacing w:after="0"/>
        <w:textAlignment w:val="auto"/>
        <w:rPr>
          <w:rFonts w:eastAsia="Times New Roman" w:cs="Times"/>
          <w:lang w:eastAsia="zh-CN"/>
        </w:rPr>
      </w:pPr>
      <w:r>
        <w:rPr>
          <w:rFonts w:eastAsia="Times New Roman" w:cs="Times"/>
          <w:lang w:eastAsia="zh-CN"/>
        </w:rPr>
        <w:t>Set A related information</w:t>
      </w:r>
    </w:p>
    <w:p w14:paraId="2D42287B" w14:textId="77777777" w:rsidR="002B6E9F" w:rsidRDefault="002B6E9F" w:rsidP="002B6E9F">
      <w:pPr>
        <w:numPr>
          <w:ilvl w:val="4"/>
          <w:numId w:val="27"/>
        </w:numPr>
        <w:overflowPunct/>
        <w:autoSpaceDE/>
        <w:autoSpaceDN/>
        <w:snapToGrid w:val="0"/>
        <w:spacing w:after="0"/>
        <w:textAlignment w:val="auto"/>
        <w:rPr>
          <w:rFonts w:eastAsia="Times New Roman" w:cs="Times"/>
          <w:lang w:eastAsia="zh-CN"/>
        </w:rPr>
      </w:pPr>
      <w:r>
        <w:rPr>
          <w:rFonts w:eastAsia="Times New Roman" w:cs="Times"/>
          <w:lang w:eastAsia="zh-CN"/>
        </w:rPr>
        <w:t>Set B related information</w:t>
      </w:r>
    </w:p>
    <w:p w14:paraId="5E17B15A" w14:textId="77777777" w:rsidR="002B6E9F" w:rsidRDefault="002B6E9F" w:rsidP="002B6E9F">
      <w:pPr>
        <w:numPr>
          <w:ilvl w:val="4"/>
          <w:numId w:val="27"/>
        </w:numPr>
        <w:overflowPunct/>
        <w:autoSpaceDE/>
        <w:autoSpaceDN/>
        <w:snapToGrid w:val="0"/>
        <w:spacing w:after="0"/>
        <w:textAlignment w:val="auto"/>
        <w:rPr>
          <w:rFonts w:eastAsia="Times New Roman" w:cs="Times"/>
          <w:lang w:eastAsia="zh-CN"/>
        </w:rPr>
      </w:pPr>
      <w:r>
        <w:rPr>
          <w:rFonts w:eastAsia="Times New Roman" w:cs="Times"/>
          <w:lang w:eastAsia="zh-CN"/>
        </w:rPr>
        <w:t>Report content related information </w:t>
      </w:r>
    </w:p>
    <w:p w14:paraId="4DFBAC27" w14:textId="77777777" w:rsidR="002B6E9F" w:rsidRDefault="002B6E9F" w:rsidP="002B6E9F">
      <w:pPr>
        <w:numPr>
          <w:ilvl w:val="4"/>
          <w:numId w:val="27"/>
        </w:numPr>
        <w:overflowPunct/>
        <w:autoSpaceDE/>
        <w:autoSpaceDN/>
        <w:snapToGrid w:val="0"/>
        <w:spacing w:after="0"/>
        <w:textAlignment w:val="auto"/>
        <w:rPr>
          <w:rFonts w:eastAsia="Times New Roman" w:cs="Times"/>
          <w:lang w:eastAsia="zh-CN"/>
        </w:rPr>
      </w:pPr>
      <w:r>
        <w:rPr>
          <w:rFonts w:eastAsia="Times New Roman" w:cs="Times"/>
          <w:lang w:eastAsia="zh-CN"/>
        </w:rPr>
        <w:t>For BM-Case 2, </w:t>
      </w:r>
    </w:p>
    <w:p w14:paraId="4B082192" w14:textId="77777777" w:rsidR="002B6E9F" w:rsidRDefault="002B6E9F" w:rsidP="002B6E9F">
      <w:pPr>
        <w:numPr>
          <w:ilvl w:val="5"/>
          <w:numId w:val="27"/>
        </w:numPr>
        <w:overflowPunct/>
        <w:autoSpaceDE/>
        <w:autoSpaceDN/>
        <w:snapToGrid w:val="0"/>
        <w:spacing w:after="0"/>
        <w:textAlignment w:val="auto"/>
        <w:rPr>
          <w:rFonts w:eastAsia="Times New Roman" w:cs="Times"/>
          <w:lang w:eastAsia="zh-CN"/>
        </w:rPr>
      </w:pPr>
      <w:r>
        <w:rPr>
          <w:rFonts w:eastAsia="Times New Roman" w:cs="Times"/>
          <w:lang w:eastAsia="zh-CN"/>
        </w:rPr>
        <w:t>Time instances related information for measurements</w:t>
      </w:r>
    </w:p>
    <w:p w14:paraId="11FCA9DF" w14:textId="77777777" w:rsidR="002B6E9F" w:rsidRDefault="002B6E9F" w:rsidP="002B6E9F">
      <w:pPr>
        <w:numPr>
          <w:ilvl w:val="5"/>
          <w:numId w:val="27"/>
        </w:numPr>
        <w:overflowPunct/>
        <w:autoSpaceDE/>
        <w:autoSpaceDN/>
        <w:snapToGrid w:val="0"/>
        <w:spacing w:after="0"/>
        <w:textAlignment w:val="auto"/>
        <w:rPr>
          <w:rFonts w:eastAsia="Times New Roman" w:cs="Times"/>
          <w:lang w:eastAsia="zh-CN"/>
        </w:rPr>
      </w:pPr>
      <w:r>
        <w:rPr>
          <w:rFonts w:eastAsia="Times New Roman" w:cs="Times"/>
          <w:lang w:eastAsia="zh-CN"/>
        </w:rPr>
        <w:t>Time instances related information for prediction</w:t>
      </w:r>
    </w:p>
    <w:p w14:paraId="250D7C99" w14:textId="77777777" w:rsidR="002B6E9F" w:rsidRDefault="002B6E9F" w:rsidP="002B6E9F">
      <w:r>
        <w:t xml:space="preserve">Based on the information provided in LS [1], it is known that the NW may provide to the UE A) one or more of </w:t>
      </w:r>
      <w:r w:rsidRPr="00A45798">
        <w:rPr>
          <w:i/>
        </w:rPr>
        <w:t>CSI-ReportConfig</w:t>
      </w:r>
      <w:r>
        <w:t xml:space="preserve"> for inference configuration and/or B) o</w:t>
      </w:r>
      <w:r w:rsidRPr="007C62BE">
        <w:t>ne set or multiple sets of inference related parameters</w:t>
      </w:r>
      <w:r>
        <w:t xml:space="preserve">. The NW may also provide the associated ID to the UE. </w:t>
      </w:r>
      <w:r w:rsidRPr="006E604C">
        <w:t xml:space="preserve">Based on the configurations received from the NW in step 3, the UE determines the applicable functionalities. When reporting these functionalities, the UE should categorize the information according to the associated </w:t>
      </w:r>
      <w:r w:rsidRPr="006E604C">
        <w:rPr>
          <w:i/>
        </w:rPr>
        <w:t>CSI-ReportConfig</w:t>
      </w:r>
      <w:r w:rsidRPr="006E604C">
        <w:t xml:space="preserve"> or set of inference-related parameters.</w:t>
      </w:r>
    </w:p>
    <w:p w14:paraId="1171AFFC" w14:textId="677762B9" w:rsidR="002B6E9F" w:rsidRPr="006E604C" w:rsidRDefault="002B6E9F" w:rsidP="002B6E9F">
      <w:pPr>
        <w:rPr>
          <w:b/>
        </w:rPr>
      </w:pPr>
      <w:r w:rsidRPr="006E604C">
        <w:rPr>
          <w:b/>
        </w:rPr>
        <w:t xml:space="preserve">Proposal </w:t>
      </w:r>
      <w:r w:rsidR="00C1553D">
        <w:rPr>
          <w:b/>
        </w:rPr>
        <w:t>3</w:t>
      </w:r>
      <w:r w:rsidRPr="006E604C">
        <w:rPr>
          <w:b/>
        </w:rPr>
        <w:t xml:space="preserve">: The applicable functionalities are reported, categorized by the associated </w:t>
      </w:r>
      <w:r w:rsidRPr="006E604C">
        <w:rPr>
          <w:b/>
          <w:i/>
        </w:rPr>
        <w:t>CSI-ReportConfig</w:t>
      </w:r>
      <w:r w:rsidRPr="006E604C">
        <w:rPr>
          <w:b/>
        </w:rPr>
        <w:t xml:space="preserve"> or set of inference-related parameters</w:t>
      </w:r>
      <w:r>
        <w:rPr>
          <w:b/>
        </w:rPr>
        <w:t>.</w:t>
      </w:r>
    </w:p>
    <w:p w14:paraId="413CBAA4" w14:textId="2FFEAB13" w:rsidR="00B33FA9" w:rsidRDefault="00777B11" w:rsidP="00777B11">
      <w:r>
        <w:t xml:space="preserve">In RAN2#127bis meeting, it was agreed that UE can support the applicable functionality reporting in both </w:t>
      </w:r>
      <w:r w:rsidRPr="00535740">
        <w:rPr>
          <w:i/>
        </w:rPr>
        <w:t>RRCReconfigurationComplete</w:t>
      </w:r>
      <w:r>
        <w:t xml:space="preserve"> and UAI messages. </w:t>
      </w:r>
    </w:p>
    <w:p w14:paraId="57B135F2" w14:textId="77777777" w:rsidR="006E60C1" w:rsidRPr="00DA0A4D" w:rsidRDefault="006E60C1" w:rsidP="006E60C1">
      <w:pPr>
        <w:pStyle w:val="Doc-text2"/>
        <w:pBdr>
          <w:top w:val="single" w:sz="4" w:space="1" w:color="auto"/>
          <w:left w:val="single" w:sz="4" w:space="4" w:color="auto"/>
          <w:bottom w:val="single" w:sz="4" w:space="1" w:color="auto"/>
          <w:right w:val="single" w:sz="4" w:space="4" w:color="auto"/>
        </w:pBdr>
        <w:rPr>
          <w:b/>
          <w:bCs/>
          <w:lang w:val="en-US" w:eastAsia="zh-CN"/>
        </w:rPr>
      </w:pPr>
      <w:r w:rsidRPr="00DA0A4D">
        <w:rPr>
          <w:b/>
          <w:bCs/>
          <w:lang w:val="en-US" w:eastAsia="zh-CN"/>
        </w:rPr>
        <w:t>Agreements for BM</w:t>
      </w:r>
    </w:p>
    <w:p w14:paraId="446F69C5" w14:textId="77777777" w:rsidR="006E60C1" w:rsidRPr="006E60C1" w:rsidRDefault="006E60C1" w:rsidP="002F705B">
      <w:pPr>
        <w:pStyle w:val="Agreement"/>
        <w:numPr>
          <w:ilvl w:val="0"/>
          <w:numId w:val="20"/>
        </w:numPr>
        <w:pBdr>
          <w:top w:val="single" w:sz="4" w:space="1" w:color="auto"/>
          <w:left w:val="single" w:sz="4" w:space="4" w:color="auto"/>
          <w:bottom w:val="single" w:sz="4" w:space="1" w:color="auto"/>
          <w:right w:val="single" w:sz="4" w:space="4" w:color="auto"/>
        </w:pBdr>
        <w:rPr>
          <w:b w:val="0"/>
          <w:lang w:val="en-US" w:eastAsia="zh-CN"/>
        </w:rPr>
      </w:pPr>
      <w:r w:rsidRPr="00942A9D">
        <w:rPr>
          <w:b w:val="0"/>
          <w:lang w:val="en-US" w:eastAsia="zh-CN"/>
        </w:rPr>
        <w:t xml:space="preserve">UAI is supported and </w:t>
      </w:r>
      <w:r w:rsidRPr="00175724">
        <w:rPr>
          <w:b w:val="0"/>
          <w:lang w:val="en-US" w:eastAsia="zh-CN"/>
        </w:rPr>
        <w:t>RRCReconfigurationComplete message</w:t>
      </w:r>
      <w:r w:rsidRPr="00942A9D">
        <w:rPr>
          <w:b w:val="0"/>
          <w:lang w:val="en-US" w:eastAsia="zh-CN"/>
        </w:rPr>
        <w:t xml:space="preserve"> can be used to report applicable functionality</w:t>
      </w:r>
      <w:r w:rsidRPr="00175724">
        <w:rPr>
          <w:b w:val="0"/>
          <w:highlight w:val="yellow"/>
          <w:lang w:val="en-US" w:eastAsia="zh-CN"/>
        </w:rPr>
        <w:t xml:space="preserve">.   We should aim to align the design on how the applicable functionality are signaled.   </w:t>
      </w:r>
      <w:r w:rsidRPr="006E60C1">
        <w:rPr>
          <w:b w:val="0"/>
          <w:lang w:val="en-US" w:eastAsia="zh-CN"/>
        </w:rPr>
        <w:t xml:space="preserve">FFS on the applicability reporting content.   </w:t>
      </w:r>
    </w:p>
    <w:p w14:paraId="50EC0F94" w14:textId="77777777" w:rsidR="00262BB6" w:rsidRDefault="00A92961" w:rsidP="00C1553D">
      <w:pPr>
        <w:spacing w:before="240"/>
      </w:pPr>
      <w:r>
        <w:t xml:space="preserve">If the UE receives NW-side associated ID for applicable functionality determination, e.g., in RRC Reconfiguration message, the UE can report applicable functionality information via RRC Reconfiguration Complete or UAI message. The combination of the two messages for applicable functionality reporting still need more detailed designs. </w:t>
      </w:r>
    </w:p>
    <w:p w14:paraId="14395DF1" w14:textId="193276C9" w:rsidR="001A0B48" w:rsidRDefault="00B375C7" w:rsidP="002A5534">
      <w:r>
        <w:t>In solution 1, this ca</w:t>
      </w:r>
      <w:r w:rsidR="001A0B48">
        <w:t xml:space="preserve">n depend on </w:t>
      </w:r>
      <w:r>
        <w:t xml:space="preserve">UE implementation to select which message to report the applicable functionality information. </w:t>
      </w:r>
      <w:r w:rsidR="001A0B48">
        <w:t>If there is no applicable functionality provided in RRC Reconfiguration Complete message, one case is that the UE performs applicable functionality determination but fails to find any applicable one. The other case may be that the UE hasn’t started applicable functionality determination. Therefore, additional</w:t>
      </w:r>
      <w:r w:rsidR="00A30C68">
        <w:t xml:space="preserve"> information may be provided for the NW to understand the </w:t>
      </w:r>
      <w:r w:rsidR="001A0B48">
        <w:t>case</w:t>
      </w:r>
      <w:r w:rsidR="00A30C68">
        <w:t xml:space="preserve"> in the RRC Reconfiguration Complete message</w:t>
      </w:r>
      <w:r w:rsidR="001A0B48">
        <w:t xml:space="preserve">. </w:t>
      </w:r>
    </w:p>
    <w:p w14:paraId="7E93E56C" w14:textId="4D3C0FDD" w:rsidR="00A30C68" w:rsidRDefault="00A30C68" w:rsidP="002A5534">
      <w:r>
        <w:t xml:space="preserve">In another solution 2, we can follow the principle of measurement gap reporting scheme. The NW can indicate explicit information for UE to firstly report the applicable functionality information via </w:t>
      </w:r>
      <w:r w:rsidR="00B375C7">
        <w:t>RRC Reconfi</w:t>
      </w:r>
      <w:r>
        <w:t xml:space="preserve">guration Complete message. With the explicit information, the UE will definitely perform the applicability checking and decide applicable functionality before the content determination of RRC Reconfiguration Complete message. If there is at least one applicable </w:t>
      </w:r>
      <w:r>
        <w:lastRenderedPageBreak/>
        <w:t>functionality available, the UE will report the applicable functionality information to the NW in RRC Reconfiguration Complete message. If the UE doesn’t report any applicable functionality in RRC Reconfiguration Complete message, the NW will realize that no applicable functionality is found at UE side.</w:t>
      </w:r>
    </w:p>
    <w:p w14:paraId="060F2802" w14:textId="32DD8A2E" w:rsidR="001A0B48" w:rsidRPr="001A0B48" w:rsidRDefault="001A0B48" w:rsidP="002A5534">
      <w:pPr>
        <w:rPr>
          <w:b/>
        </w:rPr>
      </w:pPr>
      <w:r w:rsidRPr="001A0B48">
        <w:rPr>
          <w:b/>
        </w:rPr>
        <w:t>Proposal</w:t>
      </w:r>
      <w:r w:rsidR="00C1553D">
        <w:rPr>
          <w:b/>
        </w:rPr>
        <w:t xml:space="preserve"> </w:t>
      </w:r>
      <w:r w:rsidR="00AB66AF">
        <w:rPr>
          <w:b/>
        </w:rPr>
        <w:t>4</w:t>
      </w:r>
      <w:r w:rsidRPr="001A0B48">
        <w:rPr>
          <w:b/>
        </w:rPr>
        <w:t xml:space="preserve">: Reporting applicable functionality in RRC Reconfiguration Complete or UAI </w:t>
      </w:r>
      <w:r w:rsidR="005D0317">
        <w:rPr>
          <w:b/>
        </w:rPr>
        <w:t xml:space="preserve">message </w:t>
      </w:r>
      <w:r w:rsidRPr="001A0B48">
        <w:rPr>
          <w:b/>
        </w:rPr>
        <w:t>can</w:t>
      </w:r>
      <w:r w:rsidR="005D0317">
        <w:rPr>
          <w:b/>
        </w:rPr>
        <w:t xml:space="preserve"> be</w:t>
      </w:r>
    </w:p>
    <w:p w14:paraId="6B4C4A27" w14:textId="27E1784C" w:rsidR="007A03BF" w:rsidRDefault="001A0B48" w:rsidP="009629BA">
      <w:pPr>
        <w:pStyle w:val="ListParagraph"/>
        <w:numPr>
          <w:ilvl w:val="0"/>
          <w:numId w:val="29"/>
        </w:numPr>
        <w:rPr>
          <w:b/>
        </w:rPr>
      </w:pPr>
      <w:r w:rsidRPr="009629BA">
        <w:rPr>
          <w:b/>
        </w:rPr>
        <w:t xml:space="preserve">Opt 1: up to UE implementation </w:t>
      </w:r>
    </w:p>
    <w:p w14:paraId="549B7B6A" w14:textId="6759A627" w:rsidR="001A0B48" w:rsidRPr="009629BA" w:rsidRDefault="001A0B48" w:rsidP="007A03BF">
      <w:pPr>
        <w:pStyle w:val="ListParagraph"/>
        <w:numPr>
          <w:ilvl w:val="1"/>
          <w:numId w:val="29"/>
        </w:numPr>
        <w:rPr>
          <w:b/>
        </w:rPr>
      </w:pPr>
      <w:r w:rsidRPr="009629BA">
        <w:rPr>
          <w:b/>
        </w:rPr>
        <w:t xml:space="preserve">If </w:t>
      </w:r>
      <w:r w:rsidR="007A03BF">
        <w:rPr>
          <w:b/>
        </w:rPr>
        <w:t>t</w:t>
      </w:r>
      <w:r w:rsidR="007A03BF" w:rsidRPr="007A03BF">
        <w:rPr>
          <w:b/>
        </w:rPr>
        <w:t xml:space="preserve">he </w:t>
      </w:r>
      <w:r w:rsidR="007A03BF" w:rsidRPr="007A03BF">
        <w:rPr>
          <w:b/>
          <w:i/>
        </w:rPr>
        <w:t>RRCReconfigurationComplete</w:t>
      </w:r>
      <w:r w:rsidR="007A03BF" w:rsidRPr="007A03BF">
        <w:rPr>
          <w:b/>
        </w:rPr>
        <w:t xml:space="preserve"> message contains no applicable functionalities, the UE sends an additional indication to the NW that no functionalities are available or that applicability checking was not performed.</w:t>
      </w:r>
    </w:p>
    <w:p w14:paraId="50829F40" w14:textId="0103799A" w:rsidR="00092108" w:rsidRDefault="001A0B48" w:rsidP="009629BA">
      <w:pPr>
        <w:pStyle w:val="ListParagraph"/>
        <w:numPr>
          <w:ilvl w:val="0"/>
          <w:numId w:val="29"/>
        </w:numPr>
        <w:rPr>
          <w:b/>
        </w:rPr>
      </w:pPr>
      <w:r w:rsidRPr="009629BA">
        <w:rPr>
          <w:b/>
        </w:rPr>
        <w:t xml:space="preserve">Opt 2: </w:t>
      </w:r>
      <w:r w:rsidR="00092108">
        <w:rPr>
          <w:b/>
        </w:rPr>
        <w:t xml:space="preserve">based on </w:t>
      </w:r>
      <w:r w:rsidRPr="009629BA">
        <w:rPr>
          <w:b/>
        </w:rPr>
        <w:t>explicit information from NW</w:t>
      </w:r>
      <w:r w:rsidR="00092108">
        <w:rPr>
          <w:b/>
        </w:rPr>
        <w:t xml:space="preserve"> </w:t>
      </w:r>
      <w:r w:rsidR="00092108" w:rsidRPr="009629BA">
        <w:rPr>
          <w:b/>
        </w:rPr>
        <w:t>(</w:t>
      </w:r>
      <w:r w:rsidR="00092108">
        <w:rPr>
          <w:b/>
        </w:rPr>
        <w:t>similar as</w:t>
      </w:r>
      <w:r w:rsidR="00092108" w:rsidRPr="009629BA">
        <w:rPr>
          <w:b/>
        </w:rPr>
        <w:t xml:space="preserve"> measurement gap </w:t>
      </w:r>
      <w:r w:rsidR="00092108">
        <w:rPr>
          <w:b/>
        </w:rPr>
        <w:t xml:space="preserve">reporting </w:t>
      </w:r>
      <w:r w:rsidR="00092108" w:rsidRPr="009629BA">
        <w:rPr>
          <w:b/>
        </w:rPr>
        <w:t>scheme)</w:t>
      </w:r>
    </w:p>
    <w:p w14:paraId="7EF7E85B" w14:textId="6AAB5250" w:rsidR="001A0B48" w:rsidRPr="009629BA" w:rsidRDefault="00092108" w:rsidP="00092108">
      <w:pPr>
        <w:pStyle w:val="ListParagraph"/>
        <w:numPr>
          <w:ilvl w:val="1"/>
          <w:numId w:val="29"/>
        </w:numPr>
        <w:rPr>
          <w:b/>
        </w:rPr>
      </w:pPr>
      <w:r>
        <w:rPr>
          <w:b/>
        </w:rPr>
        <w:t>The explicit information</w:t>
      </w:r>
      <w:r w:rsidR="001A0B48" w:rsidRPr="009629BA">
        <w:rPr>
          <w:b/>
        </w:rPr>
        <w:t xml:space="preserve"> indicate</w:t>
      </w:r>
      <w:r>
        <w:rPr>
          <w:b/>
        </w:rPr>
        <w:t>s</w:t>
      </w:r>
      <w:r w:rsidR="001A0B48" w:rsidRPr="009629BA">
        <w:rPr>
          <w:b/>
        </w:rPr>
        <w:t xml:space="preserve"> the UE to firstly report via RRC Reconfiguration Complete message (following the principle of measurement gap scheme)</w:t>
      </w:r>
      <w:r>
        <w:rPr>
          <w:b/>
        </w:rPr>
        <w:t>.</w:t>
      </w:r>
    </w:p>
    <w:p w14:paraId="3BEC42ED" w14:textId="2C58F7F8" w:rsidR="00171406" w:rsidRPr="001A0218" w:rsidRDefault="00622731" w:rsidP="000278A8">
      <w:pPr>
        <w:pStyle w:val="Heading3"/>
        <w:numPr>
          <w:ilvl w:val="2"/>
          <w:numId w:val="28"/>
        </w:numPr>
        <w:tabs>
          <w:tab w:val="left" w:pos="990"/>
        </w:tabs>
        <w:spacing w:after="0"/>
        <w:ind w:left="540"/>
      </w:pPr>
      <w:r>
        <w:t>R</w:t>
      </w:r>
      <w:r w:rsidR="00412448">
        <w:rPr>
          <w:rFonts w:hint="eastAsia"/>
          <w:lang w:eastAsia="zh-CN"/>
        </w:rPr>
        <w:t>eporting</w:t>
      </w:r>
      <w:r w:rsidR="00412448">
        <w:t xml:space="preserve"> </w:t>
      </w:r>
      <w:r w:rsidR="00171406">
        <w:t xml:space="preserve">of </w:t>
      </w:r>
      <w:r>
        <w:t xml:space="preserve">updated </w:t>
      </w:r>
      <w:r w:rsidR="00171406">
        <w:t>applicable functionality information</w:t>
      </w:r>
    </w:p>
    <w:p w14:paraId="1C8D91FB" w14:textId="691E4F80" w:rsidR="00477AF0" w:rsidRPr="00477AF0" w:rsidRDefault="00477AF0" w:rsidP="00A671C1">
      <w:pPr>
        <w:pStyle w:val="Comments"/>
        <w:spacing w:after="240"/>
        <w:rPr>
          <w:rFonts w:ascii="Times New Roman" w:eastAsia="SimSun" w:hAnsi="Times New Roman"/>
          <w:i w:val="0"/>
          <w:noProof w:val="0"/>
          <w:sz w:val="20"/>
          <w:szCs w:val="20"/>
        </w:rPr>
      </w:pPr>
      <w:r w:rsidRPr="00477AF0">
        <w:rPr>
          <w:rFonts w:ascii="Times New Roman" w:eastAsia="SimSun" w:hAnsi="Times New Roman"/>
          <w:i w:val="0"/>
          <w:noProof w:val="0"/>
          <w:sz w:val="20"/>
          <w:szCs w:val="20"/>
        </w:rPr>
        <w:t>In RAN2#128 meeting, RAN2 discussed UE behaviour</w:t>
      </w:r>
      <w:r w:rsidR="00A470F2">
        <w:rPr>
          <w:rFonts w:ascii="Times New Roman" w:eastAsia="SimSun" w:hAnsi="Times New Roman"/>
          <w:i w:val="0"/>
          <w:noProof w:val="0"/>
          <w:sz w:val="20"/>
          <w:szCs w:val="20"/>
        </w:rPr>
        <w:t>s</w:t>
      </w:r>
      <w:r w:rsidRPr="00477AF0">
        <w:rPr>
          <w:rFonts w:ascii="Times New Roman" w:eastAsia="SimSun" w:hAnsi="Times New Roman"/>
          <w:i w:val="0"/>
          <w:noProof w:val="0"/>
          <w:sz w:val="20"/>
          <w:szCs w:val="20"/>
        </w:rPr>
        <w:t xml:space="preserve"> when detecting </w:t>
      </w:r>
      <w:r w:rsidR="00887BF1" w:rsidRPr="00477AF0">
        <w:rPr>
          <w:rFonts w:ascii="Times New Roman" w:eastAsia="SimSun" w:hAnsi="Times New Roman"/>
          <w:i w:val="0"/>
          <w:noProof w:val="0"/>
          <w:sz w:val="20"/>
          <w:szCs w:val="20"/>
        </w:rPr>
        <w:t>an</w:t>
      </w:r>
      <w:r w:rsidRPr="00477AF0">
        <w:rPr>
          <w:rFonts w:ascii="Times New Roman" w:eastAsia="SimSun" w:hAnsi="Times New Roman"/>
          <w:i w:val="0"/>
          <w:noProof w:val="0"/>
          <w:sz w:val="20"/>
          <w:szCs w:val="20"/>
        </w:rPr>
        <w:t xml:space="preserve"> activated applicaple functionality becoming non-applicable. </w:t>
      </w:r>
      <w:r w:rsidR="00887BF1">
        <w:rPr>
          <w:rFonts w:ascii="Times New Roman" w:eastAsia="SimSun" w:hAnsi="Times New Roman"/>
          <w:i w:val="0"/>
          <w:noProof w:val="0"/>
          <w:sz w:val="20"/>
          <w:szCs w:val="20"/>
        </w:rPr>
        <w:t>The following agreements were achieved below:</w:t>
      </w:r>
    </w:p>
    <w:p w14:paraId="10E9A783" w14:textId="77777777" w:rsidR="00477AF0" w:rsidRPr="005B5B44" w:rsidRDefault="00477AF0" w:rsidP="00477AF0">
      <w:pPr>
        <w:pStyle w:val="Doc-text2"/>
        <w:pBdr>
          <w:top w:val="single" w:sz="4" w:space="1" w:color="auto"/>
          <w:left w:val="single" w:sz="4" w:space="4" w:color="auto"/>
          <w:bottom w:val="single" w:sz="4" w:space="1" w:color="auto"/>
          <w:right w:val="single" w:sz="4" w:space="4" w:color="auto"/>
        </w:pBdr>
        <w:rPr>
          <w:b/>
          <w:bCs/>
          <w:lang w:val="en-US"/>
        </w:rPr>
      </w:pPr>
      <w:r w:rsidRPr="005B5B44">
        <w:rPr>
          <w:b/>
          <w:bCs/>
          <w:lang w:val="en-US"/>
        </w:rPr>
        <w:t xml:space="preserve">Agreements </w:t>
      </w:r>
    </w:p>
    <w:p w14:paraId="6ECBFF64" w14:textId="77777777" w:rsidR="00477AF0" w:rsidRDefault="00477AF0" w:rsidP="002F705B">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6F4CE0">
        <w:rPr>
          <w:lang w:val="en-US"/>
        </w:rPr>
        <w:t xml:space="preserve">When a functionality configured by the network to be reported via UAI, becomes from non-applicable to applicable, the UE can reports it to the network. </w:t>
      </w:r>
      <w:r>
        <w:rPr>
          <w:lang w:val="en-US"/>
        </w:rPr>
        <w:t xml:space="preserve">  </w:t>
      </w:r>
      <w:r w:rsidRPr="00A52A2E">
        <w:rPr>
          <w:lang w:val="en-US"/>
        </w:rPr>
        <w:t>FFS detailed design</w:t>
      </w:r>
      <w:r>
        <w:rPr>
          <w:lang w:val="en-US"/>
        </w:rPr>
        <w:t>=&gt;UE autonomously deactivates it based on indication from NW in advance.</w:t>
      </w:r>
    </w:p>
    <w:p w14:paraId="23117F03" w14:textId="77777777" w:rsidR="00477AF0" w:rsidRPr="00A52A2E" w:rsidRDefault="00477AF0" w:rsidP="002F705B">
      <w:pPr>
        <w:pStyle w:val="Doc-text2"/>
        <w:numPr>
          <w:ilvl w:val="0"/>
          <w:numId w:val="19"/>
        </w:numPr>
        <w:pBdr>
          <w:top w:val="single" w:sz="4" w:space="1" w:color="auto"/>
          <w:left w:val="single" w:sz="4" w:space="4" w:color="auto"/>
          <w:bottom w:val="single" w:sz="4" w:space="1" w:color="auto"/>
          <w:right w:val="single" w:sz="4" w:space="4" w:color="auto"/>
        </w:pBdr>
        <w:rPr>
          <w:highlight w:val="yellow"/>
          <w:lang w:val="en-US"/>
        </w:rPr>
      </w:pPr>
      <w:r w:rsidRPr="00A52A2E">
        <w:rPr>
          <w:highlight w:val="yellow"/>
          <w:lang w:val="en-US"/>
        </w:rPr>
        <w:t>When a functionality becomes non-applicable the UE doesn’t autonomously deactivate. NW is expected to deactivate active functionality when it receives report from UE that it is non-applicable.</w:t>
      </w:r>
    </w:p>
    <w:p w14:paraId="27496D29" w14:textId="3F964C47" w:rsidR="0052656C" w:rsidRDefault="00304BDA" w:rsidP="004B0365">
      <w:pPr>
        <w:spacing w:before="240" w:after="0"/>
        <w:rPr>
          <w:bCs/>
        </w:rPr>
      </w:pPr>
      <w:r>
        <w:rPr>
          <w:bCs/>
        </w:rPr>
        <w:t xml:space="preserve">As </w:t>
      </w:r>
      <w:r w:rsidR="00DB72A6">
        <w:rPr>
          <w:bCs/>
        </w:rPr>
        <w:t>previously mentioned</w:t>
      </w:r>
      <w:r>
        <w:rPr>
          <w:bCs/>
        </w:rPr>
        <w:t xml:space="preserve">, </w:t>
      </w:r>
      <w:r w:rsidR="00887BF1">
        <w:rPr>
          <w:bCs/>
        </w:rPr>
        <w:t>when an activated applicable functionality becomes non-applicable, the UE reports</w:t>
      </w:r>
      <w:r w:rsidR="00DB72A6">
        <w:rPr>
          <w:bCs/>
        </w:rPr>
        <w:t xml:space="preserve"> this</w:t>
      </w:r>
      <w:r w:rsidR="00887BF1">
        <w:rPr>
          <w:bCs/>
        </w:rPr>
        <w:t xml:space="preserve"> to the NW. T</w:t>
      </w:r>
      <w:r w:rsidR="00887BF1" w:rsidRPr="00887BF1">
        <w:rPr>
          <w:bCs/>
        </w:rPr>
        <w:t>he NW is expected to deactivate the active functionality</w:t>
      </w:r>
      <w:r w:rsidR="00DB72A6">
        <w:rPr>
          <w:bCs/>
        </w:rPr>
        <w:t>. However, this process introduces</w:t>
      </w:r>
      <w:r w:rsidR="00887BF1">
        <w:rPr>
          <w:bCs/>
        </w:rPr>
        <w:t xml:space="preserve"> at least one </w:t>
      </w:r>
      <w:r w:rsidR="00DB72A6">
        <w:rPr>
          <w:bCs/>
        </w:rPr>
        <w:t xml:space="preserve">L3 </w:t>
      </w:r>
      <w:r w:rsidR="00DB72A6" w:rsidRPr="00CD0FD0">
        <w:rPr>
          <w:bCs/>
        </w:rPr>
        <w:t>round-trip time (RTT)</w:t>
      </w:r>
      <w:r w:rsidR="00DB72A6">
        <w:rPr>
          <w:bCs/>
        </w:rPr>
        <w:t xml:space="preserve"> of</w:t>
      </w:r>
      <w:r w:rsidR="00887BF1">
        <w:rPr>
          <w:bCs/>
        </w:rPr>
        <w:t xml:space="preserve"> latency </w:t>
      </w:r>
      <w:r w:rsidR="00DB72A6">
        <w:rPr>
          <w:bCs/>
        </w:rPr>
        <w:t>before the UE receives</w:t>
      </w:r>
      <w:r w:rsidR="00887BF1">
        <w:rPr>
          <w:bCs/>
        </w:rPr>
        <w:t xml:space="preserve"> the deactivation command</w:t>
      </w:r>
      <w:r w:rsidR="00DB72A6">
        <w:rPr>
          <w:bCs/>
        </w:rPr>
        <w:t>. During this delay</w:t>
      </w:r>
      <w:r w:rsidR="00887BF1">
        <w:rPr>
          <w:bCs/>
        </w:rPr>
        <w:t xml:space="preserve">, the UE continues </w:t>
      </w:r>
      <w:r w:rsidR="00DB72A6">
        <w:rPr>
          <w:bCs/>
        </w:rPr>
        <w:t xml:space="preserve">operating with the (now non-applicable) </w:t>
      </w:r>
      <w:r w:rsidR="00887BF1">
        <w:rPr>
          <w:bCs/>
        </w:rPr>
        <w:t>activated functionality for inference</w:t>
      </w:r>
      <w:r w:rsidR="00DB72A6">
        <w:rPr>
          <w:bCs/>
        </w:rPr>
        <w:t xml:space="preserve">, leading to degraded inference </w:t>
      </w:r>
      <w:r w:rsidR="004B0365">
        <w:rPr>
          <w:bCs/>
        </w:rPr>
        <w:t xml:space="preserve">accuracy </w:t>
      </w:r>
      <w:r w:rsidR="00DB72A6">
        <w:rPr>
          <w:bCs/>
        </w:rPr>
        <w:t>compared to traditional, non-AI measurements.</w:t>
      </w:r>
      <w:r w:rsidR="004B0365">
        <w:rPr>
          <w:bCs/>
        </w:rPr>
        <w:t xml:space="preserve"> </w:t>
      </w:r>
    </w:p>
    <w:p w14:paraId="2E58DF49" w14:textId="1F7B33DF" w:rsidR="004B0365" w:rsidRDefault="00887BF1" w:rsidP="004B0365">
      <w:pPr>
        <w:spacing w:before="240" w:after="0"/>
        <w:rPr>
          <w:bCs/>
        </w:rPr>
      </w:pPr>
      <w:r>
        <w:rPr>
          <w:bCs/>
        </w:rPr>
        <w:t xml:space="preserve">To </w:t>
      </w:r>
      <w:r w:rsidR="00DB72A6">
        <w:rPr>
          <w:bCs/>
        </w:rPr>
        <w:t>mitigate</w:t>
      </w:r>
      <w:r>
        <w:rPr>
          <w:bCs/>
        </w:rPr>
        <w:t xml:space="preserve"> the latency and improve the system performance, </w:t>
      </w:r>
      <w:r w:rsidR="00177E81">
        <w:rPr>
          <w:bCs/>
        </w:rPr>
        <w:t xml:space="preserve">the NW can </w:t>
      </w:r>
      <w:r w:rsidR="00DB72A6">
        <w:rPr>
          <w:bCs/>
        </w:rPr>
        <w:t xml:space="preserve">pre-emptively send a deactivation indication </w:t>
      </w:r>
      <w:r w:rsidR="0052656C">
        <w:rPr>
          <w:bCs/>
        </w:rPr>
        <w:t xml:space="preserve">before </w:t>
      </w:r>
      <w:r w:rsidR="00DB72A6">
        <w:rPr>
          <w:bCs/>
        </w:rPr>
        <w:t>receiving</w:t>
      </w:r>
      <w:r w:rsidR="0052656C">
        <w:rPr>
          <w:bCs/>
        </w:rPr>
        <w:t xml:space="preserve"> the non-applicable report</w:t>
      </w:r>
      <w:r w:rsidR="00177E81">
        <w:rPr>
          <w:bCs/>
        </w:rPr>
        <w:t xml:space="preserve">. </w:t>
      </w:r>
      <w:r w:rsidR="00DB72A6">
        <w:rPr>
          <w:bCs/>
        </w:rPr>
        <w:t>I</w:t>
      </w:r>
      <w:r w:rsidR="0052656C">
        <w:rPr>
          <w:bCs/>
        </w:rPr>
        <w:t>f</w:t>
      </w:r>
      <w:r w:rsidR="00177E81">
        <w:rPr>
          <w:bCs/>
        </w:rPr>
        <w:t xml:space="preserve"> the deactivation indication is </w:t>
      </w:r>
      <w:r w:rsidR="0052656C">
        <w:rPr>
          <w:bCs/>
        </w:rPr>
        <w:t>present</w:t>
      </w:r>
      <w:r w:rsidR="00177E81">
        <w:rPr>
          <w:bCs/>
        </w:rPr>
        <w:t xml:space="preserve">, UE </w:t>
      </w:r>
      <w:r w:rsidR="00DB72A6">
        <w:rPr>
          <w:bCs/>
        </w:rPr>
        <w:t>can</w:t>
      </w:r>
      <w:r w:rsidR="00177E81">
        <w:rPr>
          <w:bCs/>
        </w:rPr>
        <w:t xml:space="preserve"> deactivate the activated functionality when it becomes non-applicable. Subsequently, the UE reports the non-applicable information or the deactivation information of the activated functionality to the NW. </w:t>
      </w:r>
      <w:r w:rsidR="00DB72A6">
        <w:rPr>
          <w:bCs/>
        </w:rPr>
        <w:t>If</w:t>
      </w:r>
      <w:r w:rsidR="00177E81">
        <w:rPr>
          <w:bCs/>
        </w:rPr>
        <w:t xml:space="preserve"> the deactivation indication is </w:t>
      </w:r>
      <w:r w:rsidR="0052656C">
        <w:rPr>
          <w:bCs/>
        </w:rPr>
        <w:t>absent</w:t>
      </w:r>
      <w:r w:rsidR="00177E81">
        <w:rPr>
          <w:bCs/>
        </w:rPr>
        <w:t xml:space="preserve">, the UE reports the non-applicable functionality to the NW and </w:t>
      </w:r>
      <w:r w:rsidR="00DB72A6">
        <w:rPr>
          <w:bCs/>
        </w:rPr>
        <w:t xml:space="preserve">waits for </w:t>
      </w:r>
      <w:r w:rsidR="00177E81">
        <w:rPr>
          <w:bCs/>
        </w:rPr>
        <w:t xml:space="preserve">the NW to deactivate </w:t>
      </w:r>
      <w:r w:rsidR="00DB72A6">
        <w:rPr>
          <w:bCs/>
        </w:rPr>
        <w:t>the functionality via a subsequent</w:t>
      </w:r>
      <w:r w:rsidR="00177E81">
        <w:rPr>
          <w:bCs/>
        </w:rPr>
        <w:t xml:space="preserve"> response message.</w:t>
      </w:r>
    </w:p>
    <w:p w14:paraId="046BC615" w14:textId="50F9D990" w:rsidR="000278A8" w:rsidRPr="000278A8" w:rsidRDefault="004B0365" w:rsidP="000278A8">
      <w:pPr>
        <w:spacing w:before="240" w:after="0"/>
        <w:rPr>
          <w:b/>
          <w:bCs/>
        </w:rPr>
      </w:pPr>
      <w:r w:rsidRPr="004B0365">
        <w:rPr>
          <w:b/>
          <w:bCs/>
        </w:rPr>
        <w:t xml:space="preserve">Proposal </w:t>
      </w:r>
      <w:r w:rsidR="00AB66AF">
        <w:rPr>
          <w:b/>
          <w:bCs/>
        </w:rPr>
        <w:t>5</w:t>
      </w:r>
      <w:r w:rsidRPr="004B0365">
        <w:rPr>
          <w:b/>
          <w:bCs/>
        </w:rPr>
        <w:t xml:space="preserve">: </w:t>
      </w:r>
      <w:r w:rsidR="000278A8" w:rsidRPr="000278A8">
        <w:rPr>
          <w:b/>
          <w:bCs/>
        </w:rPr>
        <w:t>The NW can send a deactivation indication to the UE prior to receiving a non-applicability report.  The UE's behaviour depends on this indication:</w:t>
      </w:r>
    </w:p>
    <w:p w14:paraId="0C9336F8" w14:textId="77777777" w:rsidR="000278A8" w:rsidRPr="000278A8" w:rsidRDefault="000278A8" w:rsidP="000278A8">
      <w:pPr>
        <w:pStyle w:val="ListParagraph"/>
        <w:numPr>
          <w:ilvl w:val="0"/>
          <w:numId w:val="21"/>
        </w:numPr>
        <w:spacing w:after="0"/>
        <w:rPr>
          <w:b/>
          <w:bCs/>
        </w:rPr>
      </w:pPr>
      <w:r w:rsidRPr="000278A8">
        <w:rPr>
          <w:b/>
          <w:bCs/>
        </w:rPr>
        <w:t>Deactivation Indication Present: The UE deactivates the previously activated functionality when it becomes non-applicable and informs the NW of the deactivation.</w:t>
      </w:r>
    </w:p>
    <w:p w14:paraId="7AE9D3DA" w14:textId="06B07C53" w:rsidR="000278A8" w:rsidRPr="00C4099E" w:rsidRDefault="000278A8" w:rsidP="000278A8">
      <w:pPr>
        <w:pStyle w:val="ListParagraph"/>
        <w:numPr>
          <w:ilvl w:val="0"/>
          <w:numId w:val="21"/>
        </w:numPr>
        <w:spacing w:before="240" w:after="0"/>
        <w:rPr>
          <w:b/>
          <w:bCs/>
        </w:rPr>
      </w:pPr>
      <w:r w:rsidRPr="000278A8">
        <w:rPr>
          <w:b/>
          <w:bCs/>
        </w:rPr>
        <w:t>Deactivation Indication Absent: The UE sends a non-applicability report and expects the NW to deactivate the functionality in a subsequent response.</w:t>
      </w:r>
    </w:p>
    <w:p w14:paraId="2F552C95" w14:textId="6562C6B1" w:rsidR="00F456D8" w:rsidRPr="001A0218" w:rsidRDefault="004B0365" w:rsidP="006D33C0">
      <w:pPr>
        <w:pStyle w:val="Heading3"/>
        <w:numPr>
          <w:ilvl w:val="2"/>
          <w:numId w:val="28"/>
        </w:numPr>
        <w:tabs>
          <w:tab w:val="left" w:pos="990"/>
        </w:tabs>
        <w:spacing w:after="0"/>
        <w:ind w:left="540"/>
      </w:pPr>
      <w:r w:rsidRPr="004B0365">
        <w:rPr>
          <w:b/>
          <w:bCs/>
        </w:rPr>
        <w:t xml:space="preserve"> </w:t>
      </w:r>
      <w:r w:rsidR="00F456D8">
        <w:t>Other procedures for applicable functionality reporting</w:t>
      </w:r>
    </w:p>
    <w:p w14:paraId="7580CB56" w14:textId="051196DB" w:rsidR="009D469C" w:rsidRPr="00EB4580" w:rsidRDefault="00F456D8" w:rsidP="00DF4C48">
      <w:pPr>
        <w:spacing w:before="240"/>
        <w:rPr>
          <w:lang w:eastAsia="zh-CN"/>
        </w:rPr>
      </w:pPr>
      <w:r>
        <w:rPr>
          <w:lang w:eastAsia="zh-CN"/>
        </w:rPr>
        <w:t>To</w:t>
      </w:r>
      <w:r w:rsidR="00923C49" w:rsidRPr="00EB4580">
        <w:rPr>
          <w:lang w:eastAsia="zh-CN"/>
        </w:rPr>
        <w:t xml:space="preserve"> enable the flexible </w:t>
      </w:r>
      <w:r w:rsidR="001159DA">
        <w:rPr>
          <w:lang w:eastAsia="zh-CN"/>
        </w:rPr>
        <w:t>request and reporting</w:t>
      </w:r>
      <w:r w:rsidR="001159DA" w:rsidRPr="00EB4580">
        <w:rPr>
          <w:lang w:eastAsia="zh-CN"/>
        </w:rPr>
        <w:t xml:space="preserve"> </w:t>
      </w:r>
      <w:r w:rsidR="00923C49" w:rsidRPr="00EB4580">
        <w:rPr>
          <w:lang w:eastAsia="zh-CN"/>
        </w:rPr>
        <w:t>for the applicable functionality</w:t>
      </w:r>
      <w:r w:rsidR="00E831CC">
        <w:rPr>
          <w:lang w:eastAsia="zh-CN"/>
        </w:rPr>
        <w:t>,</w:t>
      </w:r>
      <w:r w:rsidR="00923C49" w:rsidRPr="00EB4580">
        <w:rPr>
          <w:lang w:eastAsia="zh-CN"/>
        </w:rPr>
        <w:t xml:space="preserve"> the NW can</w:t>
      </w:r>
      <w:r w:rsidR="009D469C" w:rsidRPr="00EB4580">
        <w:rPr>
          <w:lang w:eastAsia="zh-CN"/>
        </w:rPr>
        <w:t xml:space="preserve"> configure the request in the RRC Resume and Reestablishment messages. Correspondingly, the UE can indicate the applicable functionality information in the RRC Resume/Reestablishment Complete messages</w:t>
      </w:r>
      <w:r w:rsidR="00E831CC">
        <w:rPr>
          <w:lang w:eastAsia="zh-CN"/>
        </w:rPr>
        <w:t xml:space="preserve"> respectively</w:t>
      </w:r>
      <w:r w:rsidR="009D469C" w:rsidRPr="00EB4580">
        <w:rPr>
          <w:lang w:eastAsia="zh-CN"/>
        </w:rPr>
        <w:t>.</w:t>
      </w:r>
    </w:p>
    <w:p w14:paraId="06A4B64E" w14:textId="03E9F99A" w:rsidR="00A739D6" w:rsidRPr="00EB4580" w:rsidRDefault="009D469C" w:rsidP="004649D5">
      <w:pPr>
        <w:rPr>
          <w:b/>
          <w:lang w:val="en-US" w:eastAsia="zh-CN"/>
        </w:rPr>
      </w:pPr>
      <w:r w:rsidRPr="00EB4580">
        <w:rPr>
          <w:b/>
          <w:lang w:eastAsia="zh-CN"/>
        </w:rPr>
        <w:t xml:space="preserve">Proposal </w:t>
      </w:r>
      <w:r w:rsidR="00AB66AF">
        <w:rPr>
          <w:b/>
          <w:lang w:eastAsia="zh-CN"/>
        </w:rPr>
        <w:t>6</w:t>
      </w:r>
      <w:r w:rsidRPr="00EB4580">
        <w:rPr>
          <w:b/>
          <w:lang w:eastAsia="zh-CN"/>
        </w:rPr>
        <w:t xml:space="preserve">: RRC Resume and Reestablishment procedures can be used for request and reporting of </w:t>
      </w:r>
      <w:r w:rsidR="008A0112" w:rsidRPr="00EB4580">
        <w:rPr>
          <w:b/>
          <w:lang w:eastAsia="zh-CN"/>
        </w:rPr>
        <w:t xml:space="preserve">the </w:t>
      </w:r>
      <w:r w:rsidRPr="00EB4580">
        <w:rPr>
          <w:b/>
          <w:lang w:eastAsia="zh-CN"/>
        </w:rPr>
        <w:t>applicable functionality information.</w:t>
      </w:r>
    </w:p>
    <w:p w14:paraId="77BE08AB" w14:textId="4276EB6D" w:rsidR="00C77992" w:rsidRDefault="005C01FE" w:rsidP="002F705B">
      <w:pPr>
        <w:pStyle w:val="Heading2"/>
        <w:numPr>
          <w:ilvl w:val="1"/>
          <w:numId w:val="7"/>
        </w:numPr>
      </w:pPr>
      <w:r>
        <w:t xml:space="preserve">UE-side </w:t>
      </w:r>
      <w:r w:rsidR="004035D1">
        <w:t>Training D</w:t>
      </w:r>
      <w:r>
        <w:t xml:space="preserve">ata </w:t>
      </w:r>
      <w:r w:rsidR="004035D1">
        <w:t>Collection</w:t>
      </w:r>
    </w:p>
    <w:p w14:paraId="16EC131B" w14:textId="77777777" w:rsidR="004B18C4" w:rsidRPr="004B18C4" w:rsidRDefault="004B18C4" w:rsidP="006D33C0">
      <w:pPr>
        <w:pStyle w:val="ListParagraph"/>
        <w:keepNext/>
        <w:keepLines/>
        <w:numPr>
          <w:ilvl w:val="1"/>
          <w:numId w:val="28"/>
        </w:numPr>
        <w:spacing w:before="120"/>
        <w:contextualSpacing w:val="0"/>
        <w:outlineLvl w:val="2"/>
        <w:rPr>
          <w:rFonts w:ascii="Arial" w:hAnsi="Arial"/>
          <w:vanish/>
          <w:sz w:val="28"/>
        </w:rPr>
      </w:pPr>
    </w:p>
    <w:p w14:paraId="3E4E82C1" w14:textId="77777777" w:rsidR="006A34CC" w:rsidRDefault="006A34CC" w:rsidP="006A34CC">
      <w:r>
        <w:t>In RAN2#128 meeting, there were some agreements and FFSs for data collection for UE-side model:</w:t>
      </w:r>
    </w:p>
    <w:p w14:paraId="64FB0B31" w14:textId="77777777" w:rsidR="006A34CC" w:rsidRDefault="006A34CC" w:rsidP="006A34CC">
      <w:pPr>
        <w:spacing w:before="240"/>
        <w:rPr>
          <w:lang w:val="en-US"/>
        </w:rPr>
      </w:pPr>
    </w:p>
    <w:p w14:paraId="0DE931EB" w14:textId="77777777" w:rsidR="006A34CC" w:rsidRPr="005B5B44" w:rsidRDefault="006A34CC" w:rsidP="006A34CC">
      <w:pPr>
        <w:pStyle w:val="Doc-text2"/>
        <w:pBdr>
          <w:top w:val="single" w:sz="4" w:space="1" w:color="auto"/>
          <w:left w:val="single" w:sz="4" w:space="4" w:color="auto"/>
          <w:bottom w:val="single" w:sz="4" w:space="1" w:color="auto"/>
          <w:right w:val="single" w:sz="4" w:space="4" w:color="auto"/>
        </w:pBdr>
        <w:rPr>
          <w:b/>
          <w:bCs/>
          <w:lang w:val="en-US"/>
        </w:rPr>
      </w:pPr>
      <w:r w:rsidRPr="005B5B44">
        <w:rPr>
          <w:b/>
          <w:bCs/>
          <w:lang w:val="en-US"/>
        </w:rPr>
        <w:t xml:space="preserve">Agreements </w:t>
      </w:r>
    </w:p>
    <w:p w14:paraId="462CB30D" w14:textId="77777777" w:rsidR="006A34CC" w:rsidRPr="0047325E" w:rsidRDefault="006A34CC" w:rsidP="006A34CC">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47325E">
        <w:rPr>
          <w:lang w:val="en-US"/>
        </w:rPr>
        <w:lastRenderedPageBreak/>
        <w:t>For BM use case for UE-side model, data collection related configuration(s) (e.g., measurement resources configuration) and associated ID(s) can be included in training data collection configuration.</w:t>
      </w:r>
    </w:p>
    <w:p w14:paraId="3BDDD9C8" w14:textId="77777777" w:rsidR="006A34CC" w:rsidRDefault="006A34CC" w:rsidP="006A34CC">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47325E">
        <w:rPr>
          <w:lang w:val="en-US"/>
        </w:rPr>
        <w:t xml:space="preserve">For data collection configuration UE-side model training, the UE can send a request for data collection.   </w:t>
      </w:r>
      <w:r w:rsidRPr="00274B4D">
        <w:rPr>
          <w:highlight w:val="yellow"/>
          <w:lang w:val="en-US"/>
        </w:rPr>
        <w:t>FFS what the request contains.</w:t>
      </w:r>
      <w:r w:rsidRPr="0047325E">
        <w:rPr>
          <w:lang w:val="en-US"/>
        </w:rPr>
        <w:t xml:space="preserve">    </w:t>
      </w:r>
    </w:p>
    <w:p w14:paraId="48F8A240" w14:textId="77777777" w:rsidR="006A34CC" w:rsidRDefault="006A34CC" w:rsidP="006A34CC">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47325E">
        <w:rPr>
          <w:lang w:val="en-US"/>
        </w:rPr>
        <w:t>The network can provide the data collection configuration</w:t>
      </w:r>
      <w:r>
        <w:rPr>
          <w:lang w:val="en-US"/>
        </w:rPr>
        <w:t xml:space="preserve"> (at any point in time), with or without UE request</w:t>
      </w:r>
      <w:r w:rsidRPr="0047325E">
        <w:rPr>
          <w:lang w:val="en-US"/>
        </w:rPr>
        <w:t xml:space="preserve">.    </w:t>
      </w:r>
    </w:p>
    <w:p w14:paraId="05754DDE" w14:textId="77777777" w:rsidR="006A34CC" w:rsidRPr="00B07F5F" w:rsidRDefault="006A34CC" w:rsidP="006A34CC">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B07F5F">
        <w:rPr>
          <w:lang w:val="en-US"/>
        </w:rPr>
        <w:t>The following methods for network control of the initiation and configuration for data collection:</w:t>
      </w:r>
    </w:p>
    <w:p w14:paraId="0038DE3F" w14:textId="77777777" w:rsidR="006A34CC" w:rsidRPr="00B07F5F" w:rsidRDefault="006A34CC" w:rsidP="006A34CC">
      <w:pPr>
        <w:pStyle w:val="Doc-text2"/>
        <w:pBdr>
          <w:top w:val="single" w:sz="4" w:space="1" w:color="auto"/>
          <w:left w:val="single" w:sz="4" w:space="4" w:color="auto"/>
          <w:bottom w:val="single" w:sz="4" w:space="1" w:color="auto"/>
          <w:right w:val="single" w:sz="4" w:space="4" w:color="auto"/>
        </w:pBdr>
        <w:ind w:left="1619" w:firstLine="0"/>
        <w:rPr>
          <w:lang w:val="en-US"/>
        </w:rPr>
      </w:pPr>
      <w:r>
        <w:rPr>
          <w:lang w:val="en-US"/>
        </w:rPr>
        <w:t xml:space="preserve">- </w:t>
      </w:r>
      <w:r w:rsidRPr="00B07F5F">
        <w:rPr>
          <w:lang w:val="en-US"/>
        </w:rPr>
        <w:t>The network can decide when to start/stop the data collection and send configuration.</w:t>
      </w:r>
    </w:p>
    <w:p w14:paraId="20B2CAE4" w14:textId="77777777" w:rsidR="006A34CC" w:rsidRPr="00B07F5F" w:rsidRDefault="006A34CC" w:rsidP="006A34CC">
      <w:pPr>
        <w:pStyle w:val="Doc-text2"/>
        <w:pBdr>
          <w:top w:val="single" w:sz="4" w:space="1" w:color="auto"/>
          <w:left w:val="single" w:sz="4" w:space="4" w:color="auto"/>
          <w:bottom w:val="single" w:sz="4" w:space="1" w:color="auto"/>
          <w:right w:val="single" w:sz="4" w:space="4" w:color="auto"/>
        </w:pBdr>
        <w:ind w:left="1619" w:firstLine="0"/>
        <w:rPr>
          <w:lang w:val="en-US"/>
        </w:rPr>
      </w:pPr>
      <w:r>
        <w:rPr>
          <w:lang w:val="en-US"/>
        </w:rPr>
        <w:t xml:space="preserve">- </w:t>
      </w:r>
      <w:r w:rsidRPr="00B07F5F">
        <w:rPr>
          <w:lang w:val="en-US"/>
        </w:rPr>
        <w:t>The network can configure whether UE is allowed to initiate request for data collection.</w:t>
      </w:r>
    </w:p>
    <w:p w14:paraId="061E428F" w14:textId="77777777" w:rsidR="006A34CC" w:rsidRPr="00274B4D" w:rsidRDefault="006A34CC" w:rsidP="006A34CC">
      <w:pPr>
        <w:pStyle w:val="Doc-text2"/>
        <w:numPr>
          <w:ilvl w:val="0"/>
          <w:numId w:val="24"/>
        </w:numPr>
        <w:pBdr>
          <w:top w:val="single" w:sz="4" w:space="1" w:color="auto"/>
          <w:left w:val="single" w:sz="4" w:space="4" w:color="auto"/>
          <w:bottom w:val="single" w:sz="4" w:space="1" w:color="auto"/>
          <w:right w:val="single" w:sz="4" w:space="4" w:color="auto"/>
        </w:pBdr>
        <w:rPr>
          <w:highlight w:val="yellow"/>
          <w:lang w:val="en-US"/>
        </w:rPr>
      </w:pPr>
      <w:r w:rsidRPr="00274B4D">
        <w:rPr>
          <w:highlight w:val="yellow"/>
          <w:lang w:val="en-US"/>
        </w:rPr>
        <w:t xml:space="preserve">FFS whether an indication from UE to network is needed when UE can’t perform data collection based on received configuration </w:t>
      </w:r>
    </w:p>
    <w:p w14:paraId="51EC0C83" w14:textId="77777777" w:rsidR="006A34CC" w:rsidRDefault="006A34CC" w:rsidP="006A34CC">
      <w:pPr>
        <w:pStyle w:val="Comments"/>
        <w:rPr>
          <w:b/>
          <w:bCs/>
          <w:i w:val="0"/>
          <w:iCs/>
          <w:lang w:val="en-US"/>
        </w:rPr>
      </w:pPr>
    </w:p>
    <w:p w14:paraId="67A8F001" w14:textId="4EAD1609" w:rsidR="006A34CC" w:rsidRDefault="006A34CC" w:rsidP="006A34CC">
      <w:pPr>
        <w:pStyle w:val="Comments"/>
        <w:rPr>
          <w:rFonts w:ascii="Times New Roman" w:eastAsia="SimSun" w:hAnsi="Times New Roman"/>
          <w:i w:val="0"/>
          <w:noProof w:val="0"/>
          <w:sz w:val="20"/>
          <w:szCs w:val="20"/>
          <w:lang w:val="en-US"/>
        </w:rPr>
      </w:pPr>
      <w:r>
        <w:rPr>
          <w:rFonts w:ascii="Times New Roman" w:eastAsia="SimSun" w:hAnsi="Times New Roman"/>
          <w:i w:val="0"/>
          <w:noProof w:val="0"/>
          <w:sz w:val="20"/>
          <w:szCs w:val="20"/>
          <w:lang w:val="en-US"/>
        </w:rPr>
        <w:t>As shown in the agreements, both reactive (with UE request) and proactive (without UE request) schemes are agreed for NW to provide data collection configuration.</w:t>
      </w:r>
    </w:p>
    <w:p w14:paraId="0A548E1B" w14:textId="29E90739" w:rsidR="00EE74A9" w:rsidRPr="00EE74A9" w:rsidRDefault="00EE74A9" w:rsidP="006D33C0">
      <w:pPr>
        <w:pStyle w:val="Heading3"/>
        <w:numPr>
          <w:ilvl w:val="2"/>
          <w:numId w:val="28"/>
        </w:numPr>
        <w:tabs>
          <w:tab w:val="left" w:pos="810"/>
        </w:tabs>
        <w:ind w:left="540"/>
      </w:pPr>
      <w:r>
        <w:t>Re</w:t>
      </w:r>
      <w:r w:rsidR="00CA2CFF">
        <w:t xml:space="preserve">active scheme: </w:t>
      </w:r>
      <w:r w:rsidRPr="00EE74A9">
        <w:t>data collection configuration wo UE request</w:t>
      </w:r>
    </w:p>
    <w:p w14:paraId="765FD15F" w14:textId="278936CD" w:rsidR="009610F6" w:rsidRDefault="00EE74A9" w:rsidP="001D4400">
      <w:pPr>
        <w:pStyle w:val="Comments"/>
        <w:spacing w:after="240"/>
        <w:rPr>
          <w:rFonts w:ascii="Times New Roman" w:eastAsia="SimSun" w:hAnsi="Times New Roman"/>
          <w:i w:val="0"/>
          <w:noProof w:val="0"/>
          <w:sz w:val="20"/>
          <w:szCs w:val="20"/>
          <w:lang w:val="en-US"/>
        </w:rPr>
      </w:pPr>
      <w:r>
        <w:rPr>
          <w:rFonts w:ascii="Times New Roman" w:eastAsia="SimSun" w:hAnsi="Times New Roman"/>
          <w:i w:val="0"/>
          <w:noProof w:val="0"/>
          <w:sz w:val="20"/>
          <w:szCs w:val="20"/>
          <w:lang w:val="en-US"/>
        </w:rPr>
        <w:t xml:space="preserve">In reactive approach, the UE can initiate the data collection request. </w:t>
      </w:r>
      <w:r w:rsidR="009158F9">
        <w:rPr>
          <w:rFonts w:ascii="Times New Roman" w:eastAsia="SimSun" w:hAnsi="Times New Roman"/>
          <w:i w:val="0"/>
          <w:noProof w:val="0"/>
          <w:sz w:val="20"/>
          <w:szCs w:val="20"/>
          <w:lang w:val="en-US"/>
        </w:rPr>
        <w:t>Based on UE capability</w:t>
      </w:r>
      <w:r>
        <w:rPr>
          <w:rFonts w:ascii="Times New Roman" w:eastAsia="SimSun" w:hAnsi="Times New Roman"/>
          <w:i w:val="0"/>
          <w:noProof w:val="0"/>
          <w:sz w:val="20"/>
          <w:szCs w:val="20"/>
          <w:lang w:val="en-US"/>
        </w:rPr>
        <w:t>, the UE</w:t>
      </w:r>
      <w:r w:rsidR="00FB19F5" w:rsidRPr="00FB19F5">
        <w:rPr>
          <w:rFonts w:ascii="Times New Roman" w:eastAsia="SimSun" w:hAnsi="Times New Roman"/>
          <w:i w:val="0"/>
          <w:noProof w:val="0"/>
          <w:sz w:val="20"/>
          <w:szCs w:val="20"/>
          <w:lang w:val="en-US"/>
        </w:rPr>
        <w:t xml:space="preserve"> may support model training fo</w:t>
      </w:r>
      <w:r w:rsidR="009158F9">
        <w:rPr>
          <w:rFonts w:ascii="Times New Roman" w:eastAsia="SimSun" w:hAnsi="Times New Roman"/>
          <w:i w:val="0"/>
          <w:noProof w:val="0"/>
          <w:sz w:val="20"/>
          <w:szCs w:val="20"/>
          <w:lang w:val="en-US"/>
        </w:rPr>
        <w:t>r</w:t>
      </w:r>
      <w:r w:rsidR="00FB19F5" w:rsidRPr="00FB19F5">
        <w:rPr>
          <w:rFonts w:ascii="Times New Roman" w:eastAsia="SimSun" w:hAnsi="Times New Roman"/>
          <w:i w:val="0"/>
          <w:noProof w:val="0"/>
          <w:sz w:val="20"/>
          <w:szCs w:val="20"/>
          <w:lang w:val="en-US"/>
        </w:rPr>
        <w:t xml:space="preserve"> some </w:t>
      </w:r>
      <w:r w:rsidR="009158F9">
        <w:rPr>
          <w:rFonts w:ascii="Times New Roman" w:eastAsia="SimSun" w:hAnsi="Times New Roman"/>
          <w:i w:val="0"/>
          <w:noProof w:val="0"/>
          <w:sz w:val="20"/>
          <w:szCs w:val="20"/>
          <w:lang w:val="en-US"/>
        </w:rPr>
        <w:t xml:space="preserve">use case(s), </w:t>
      </w:r>
      <w:r w:rsidR="00FB19F5" w:rsidRPr="00FB19F5">
        <w:rPr>
          <w:rFonts w:ascii="Times New Roman" w:eastAsia="SimSun" w:hAnsi="Times New Roman"/>
          <w:i w:val="0"/>
          <w:noProof w:val="0"/>
          <w:sz w:val="20"/>
          <w:szCs w:val="20"/>
          <w:lang w:val="en-US"/>
        </w:rPr>
        <w:t>features or feature groups.</w:t>
      </w:r>
      <w:r w:rsidR="009158F9">
        <w:rPr>
          <w:rFonts w:ascii="Times New Roman" w:eastAsia="SimSun" w:hAnsi="Times New Roman"/>
          <w:i w:val="0"/>
          <w:noProof w:val="0"/>
          <w:sz w:val="20"/>
          <w:szCs w:val="20"/>
          <w:lang w:val="en-US"/>
        </w:rPr>
        <w:t xml:space="preserve"> Correspondingly, the UE only wants to perform data collection for the supported model(s) training. When the UE initiates the request for data collection, it is straightforward to include</w:t>
      </w:r>
      <w:r w:rsidR="00CA2CFF">
        <w:rPr>
          <w:rFonts w:ascii="Times New Roman" w:eastAsia="SimSun" w:hAnsi="Times New Roman"/>
          <w:i w:val="0"/>
          <w:noProof w:val="0"/>
          <w:sz w:val="20"/>
          <w:szCs w:val="20"/>
          <w:lang w:val="en-US"/>
        </w:rPr>
        <w:t xml:space="preserve"> its preferred data collection configuration(s). The preferred data collection configuration can include</w:t>
      </w:r>
      <w:r w:rsidR="009158F9">
        <w:rPr>
          <w:rFonts w:ascii="Times New Roman" w:eastAsia="SimSun" w:hAnsi="Times New Roman"/>
          <w:i w:val="0"/>
          <w:noProof w:val="0"/>
          <w:sz w:val="20"/>
          <w:szCs w:val="20"/>
          <w:lang w:val="en-US"/>
        </w:rPr>
        <w:t xml:space="preserve"> the use case/feature/feature group related information. </w:t>
      </w:r>
      <w:r w:rsidR="008A316E">
        <w:rPr>
          <w:rFonts w:ascii="Times New Roman" w:eastAsia="SimSun" w:hAnsi="Times New Roman"/>
          <w:i w:val="0"/>
          <w:noProof w:val="0"/>
          <w:sz w:val="20"/>
          <w:szCs w:val="20"/>
          <w:lang w:val="en-US"/>
        </w:rPr>
        <w:t xml:space="preserve">The NW can provide related data collection configuration for the UE to collect data for the reported use case/feature/FG. </w:t>
      </w:r>
      <w:r w:rsidR="009158F9">
        <w:rPr>
          <w:rFonts w:ascii="Times New Roman" w:eastAsia="SimSun" w:hAnsi="Times New Roman"/>
          <w:i w:val="0"/>
          <w:noProof w:val="0"/>
          <w:sz w:val="20"/>
          <w:szCs w:val="20"/>
          <w:lang w:val="en-US"/>
        </w:rPr>
        <w:t xml:space="preserve">In addition, if the UE has </w:t>
      </w:r>
      <w:r w:rsidR="00F052CD">
        <w:rPr>
          <w:rFonts w:ascii="Times New Roman" w:eastAsia="SimSun" w:hAnsi="Times New Roman"/>
          <w:i w:val="0"/>
          <w:noProof w:val="0"/>
          <w:sz w:val="20"/>
          <w:szCs w:val="20"/>
          <w:lang w:val="en-US"/>
        </w:rPr>
        <w:t>more knowledge</w:t>
      </w:r>
      <w:r w:rsidR="009158F9">
        <w:rPr>
          <w:rFonts w:ascii="Times New Roman" w:eastAsia="SimSun" w:hAnsi="Times New Roman"/>
          <w:i w:val="0"/>
          <w:noProof w:val="0"/>
          <w:sz w:val="20"/>
          <w:szCs w:val="20"/>
          <w:lang w:val="en-US"/>
        </w:rPr>
        <w:t xml:space="preserve"> of the model to be trained,</w:t>
      </w:r>
      <w:r w:rsidR="00F052CD" w:rsidRPr="00F052CD">
        <w:rPr>
          <w:rFonts w:ascii="Times New Roman" w:eastAsia="SimSun" w:hAnsi="Times New Roman"/>
          <w:i w:val="0"/>
          <w:noProof w:val="0"/>
          <w:sz w:val="20"/>
          <w:szCs w:val="20"/>
          <w:lang w:val="en-US"/>
        </w:rPr>
        <w:t xml:space="preserve"> </w:t>
      </w:r>
      <w:r w:rsidR="00F052CD">
        <w:rPr>
          <w:rFonts w:ascii="Times New Roman" w:eastAsia="SimSun" w:hAnsi="Times New Roman"/>
          <w:i w:val="0"/>
          <w:noProof w:val="0"/>
          <w:sz w:val="20"/>
          <w:szCs w:val="20"/>
          <w:lang w:val="en-US"/>
        </w:rPr>
        <w:t xml:space="preserve">e.g., NW-side associated ID, </w:t>
      </w:r>
      <w:r w:rsidR="00640AA6">
        <w:rPr>
          <w:rFonts w:ascii="Times New Roman" w:eastAsia="SimSun" w:hAnsi="Times New Roman"/>
          <w:i w:val="0"/>
          <w:noProof w:val="0"/>
          <w:sz w:val="20"/>
          <w:szCs w:val="20"/>
          <w:lang w:val="en-US"/>
        </w:rPr>
        <w:t>set A related information</w:t>
      </w:r>
      <w:r w:rsidR="00F052CD">
        <w:rPr>
          <w:rFonts w:ascii="Times New Roman" w:eastAsia="SimSun" w:hAnsi="Times New Roman"/>
          <w:i w:val="0"/>
          <w:noProof w:val="0"/>
          <w:sz w:val="20"/>
          <w:szCs w:val="20"/>
          <w:lang w:val="en-US"/>
        </w:rPr>
        <w:t xml:space="preserve">, </w:t>
      </w:r>
      <w:r w:rsidR="009158F9">
        <w:rPr>
          <w:rFonts w:ascii="Times New Roman" w:eastAsia="SimSun" w:hAnsi="Times New Roman"/>
          <w:i w:val="0"/>
          <w:noProof w:val="0"/>
          <w:sz w:val="20"/>
          <w:szCs w:val="20"/>
          <w:lang w:val="en-US"/>
        </w:rPr>
        <w:t xml:space="preserve">it can include it in the request message. </w:t>
      </w:r>
    </w:p>
    <w:p w14:paraId="414FD439" w14:textId="668CC87B" w:rsidR="007316FD" w:rsidRPr="007316FD" w:rsidRDefault="007316FD" w:rsidP="009610F6">
      <w:pPr>
        <w:pStyle w:val="Comments"/>
        <w:rPr>
          <w:rFonts w:ascii="Times New Roman" w:eastAsia="SimSun" w:hAnsi="Times New Roman"/>
          <w:b/>
          <w:i w:val="0"/>
          <w:noProof w:val="0"/>
          <w:sz w:val="20"/>
          <w:szCs w:val="20"/>
          <w:lang w:val="en-US"/>
        </w:rPr>
      </w:pPr>
      <w:r w:rsidRPr="007316FD">
        <w:rPr>
          <w:rFonts w:ascii="Times New Roman" w:eastAsia="SimSun" w:hAnsi="Times New Roman"/>
          <w:b/>
          <w:i w:val="0"/>
          <w:noProof w:val="0"/>
          <w:sz w:val="20"/>
          <w:szCs w:val="20"/>
          <w:lang w:val="en-US"/>
        </w:rPr>
        <w:t>Proposal</w:t>
      </w:r>
      <w:r w:rsidR="008B1962">
        <w:rPr>
          <w:rFonts w:ascii="Times New Roman" w:eastAsia="SimSun" w:hAnsi="Times New Roman"/>
          <w:b/>
          <w:i w:val="0"/>
          <w:noProof w:val="0"/>
          <w:sz w:val="20"/>
          <w:szCs w:val="20"/>
          <w:lang w:val="en-US"/>
        </w:rPr>
        <w:t xml:space="preserve"> </w:t>
      </w:r>
      <w:r w:rsidR="00AB66AF">
        <w:rPr>
          <w:rFonts w:ascii="Times New Roman" w:eastAsia="SimSun" w:hAnsi="Times New Roman"/>
          <w:b/>
          <w:i w:val="0"/>
          <w:noProof w:val="0"/>
          <w:sz w:val="20"/>
          <w:szCs w:val="20"/>
          <w:lang w:val="en-US"/>
        </w:rPr>
        <w:t>7</w:t>
      </w:r>
      <w:r w:rsidRPr="007316FD">
        <w:rPr>
          <w:rFonts w:ascii="Times New Roman" w:eastAsia="SimSun" w:hAnsi="Times New Roman"/>
          <w:b/>
          <w:i w:val="0"/>
          <w:noProof w:val="0"/>
          <w:sz w:val="20"/>
          <w:szCs w:val="20"/>
          <w:lang w:val="en-US"/>
        </w:rPr>
        <w:t xml:space="preserve">: The data collection request includes </w:t>
      </w:r>
      <w:r w:rsidR="008A316E">
        <w:rPr>
          <w:rFonts w:ascii="Times New Roman" w:eastAsia="SimSun" w:hAnsi="Times New Roman"/>
          <w:b/>
          <w:i w:val="0"/>
          <w:noProof w:val="0"/>
          <w:sz w:val="20"/>
          <w:szCs w:val="20"/>
          <w:lang w:val="en-US"/>
        </w:rPr>
        <w:t xml:space="preserve">the preference for data collection configuration for the model to be trained, e.g., </w:t>
      </w:r>
      <w:r w:rsidRPr="007316FD">
        <w:rPr>
          <w:rFonts w:ascii="Times New Roman" w:eastAsia="SimSun" w:hAnsi="Times New Roman"/>
          <w:b/>
          <w:i w:val="0"/>
          <w:noProof w:val="0"/>
          <w:sz w:val="20"/>
          <w:szCs w:val="20"/>
          <w:lang w:val="en-US"/>
        </w:rPr>
        <w:t>the use case/feature/FG information</w:t>
      </w:r>
      <w:r w:rsidR="008A316E">
        <w:rPr>
          <w:rFonts w:ascii="Times New Roman" w:eastAsia="SimSun" w:hAnsi="Times New Roman"/>
          <w:b/>
          <w:i w:val="0"/>
          <w:noProof w:val="0"/>
          <w:sz w:val="20"/>
          <w:szCs w:val="20"/>
          <w:lang w:val="en-US"/>
        </w:rPr>
        <w:t>,</w:t>
      </w:r>
      <w:r w:rsidRPr="007316FD">
        <w:rPr>
          <w:rFonts w:ascii="Times New Roman" w:eastAsia="SimSun" w:hAnsi="Times New Roman"/>
          <w:b/>
          <w:i w:val="0"/>
          <w:noProof w:val="0"/>
          <w:sz w:val="20"/>
          <w:szCs w:val="20"/>
          <w:lang w:val="en-US"/>
        </w:rPr>
        <w:t xml:space="preserve"> NW-side associated ID </w:t>
      </w:r>
      <w:r w:rsidR="008A316E">
        <w:rPr>
          <w:rFonts w:ascii="Times New Roman" w:eastAsia="SimSun" w:hAnsi="Times New Roman"/>
          <w:b/>
          <w:i w:val="0"/>
          <w:noProof w:val="0"/>
          <w:sz w:val="20"/>
          <w:szCs w:val="20"/>
          <w:lang w:val="en-US"/>
        </w:rPr>
        <w:t>or</w:t>
      </w:r>
      <w:r w:rsidR="00640AA6" w:rsidRPr="00640AA6">
        <w:t xml:space="preserve"> </w:t>
      </w:r>
      <w:r w:rsidR="00640AA6" w:rsidRPr="00640AA6">
        <w:rPr>
          <w:rFonts w:ascii="Times New Roman" w:eastAsia="SimSun" w:hAnsi="Times New Roman"/>
          <w:b/>
          <w:i w:val="0"/>
          <w:noProof w:val="0"/>
          <w:sz w:val="20"/>
          <w:szCs w:val="20"/>
          <w:lang w:val="en-US"/>
        </w:rPr>
        <w:t>set A related information</w:t>
      </w:r>
      <w:r w:rsidRPr="007316FD">
        <w:rPr>
          <w:rFonts w:ascii="Times New Roman" w:eastAsia="SimSun" w:hAnsi="Times New Roman"/>
          <w:b/>
          <w:i w:val="0"/>
          <w:noProof w:val="0"/>
          <w:sz w:val="20"/>
          <w:szCs w:val="20"/>
          <w:lang w:val="en-US"/>
        </w:rPr>
        <w:t>.</w:t>
      </w:r>
    </w:p>
    <w:p w14:paraId="5C4441D9" w14:textId="55BEA513" w:rsidR="006D1D5A" w:rsidRDefault="006D1D5A" w:rsidP="001D4400">
      <w:pPr>
        <w:spacing w:before="240" w:after="0"/>
        <w:rPr>
          <w:lang w:val="en-US"/>
        </w:rPr>
      </w:pPr>
      <w:r>
        <w:rPr>
          <w:lang w:val="en-US"/>
        </w:rPr>
        <w:t xml:space="preserve">Upon receiving the </w:t>
      </w:r>
      <w:r w:rsidRPr="006D1D5A">
        <w:rPr>
          <w:lang w:val="en-US"/>
        </w:rPr>
        <w:t>data collection</w:t>
      </w:r>
      <w:r>
        <w:rPr>
          <w:lang w:val="en-US"/>
        </w:rPr>
        <w:t xml:space="preserve"> request</w:t>
      </w:r>
      <w:r w:rsidRPr="006D1D5A">
        <w:rPr>
          <w:lang w:val="en-US"/>
        </w:rPr>
        <w:t xml:space="preserve">, the NW </w:t>
      </w:r>
      <w:r>
        <w:rPr>
          <w:lang w:val="en-US"/>
        </w:rPr>
        <w:t>can configue</w:t>
      </w:r>
      <w:r w:rsidRPr="006D1D5A">
        <w:rPr>
          <w:lang w:val="en-US"/>
        </w:rPr>
        <w:t xml:space="preserve"> the relevant configuration(s) and associated ID(s) in the training data collection configuration. To guarantee that the NW can support requested data collection configurations, one option is for the NW to send data collection support information to the UE. This support information specifies which data collection types </w:t>
      </w:r>
      <w:r>
        <w:rPr>
          <w:lang w:val="en-US"/>
        </w:rPr>
        <w:t>can be</w:t>
      </w:r>
      <w:r w:rsidRPr="006D1D5A">
        <w:rPr>
          <w:lang w:val="en-US"/>
        </w:rPr>
        <w:t xml:space="preserve"> request</w:t>
      </w:r>
      <w:r>
        <w:rPr>
          <w:lang w:val="en-US"/>
        </w:rPr>
        <w:t>ed</w:t>
      </w:r>
      <w:r w:rsidRPr="006D1D5A">
        <w:rPr>
          <w:lang w:val="en-US"/>
        </w:rPr>
        <w:t>. When initiating a data collection request, the UE must consider this</w:t>
      </w:r>
      <w:r>
        <w:rPr>
          <w:lang w:val="en-US"/>
        </w:rPr>
        <w:t xml:space="preserve"> </w:t>
      </w:r>
      <w:r w:rsidR="007B7F7C" w:rsidRPr="007B7F7C">
        <w:rPr>
          <w:lang w:val="en-US"/>
        </w:rPr>
        <w:t xml:space="preserve">data collection </w:t>
      </w:r>
      <w:r>
        <w:rPr>
          <w:lang w:val="en-US"/>
        </w:rPr>
        <w:t>support information</w:t>
      </w:r>
      <w:r w:rsidRPr="006D1D5A">
        <w:rPr>
          <w:lang w:val="en-US"/>
        </w:rPr>
        <w:t>.</w:t>
      </w:r>
    </w:p>
    <w:p w14:paraId="6F962218" w14:textId="73B6555F" w:rsidR="004D495B" w:rsidRPr="00EE74A9" w:rsidRDefault="004D495B" w:rsidP="00F946DF">
      <w:pPr>
        <w:spacing w:before="240"/>
        <w:rPr>
          <w:b/>
          <w:lang w:val="en-US"/>
        </w:rPr>
      </w:pPr>
      <w:r w:rsidRPr="00EE74A9">
        <w:rPr>
          <w:b/>
          <w:lang w:val="en-US"/>
        </w:rPr>
        <w:t>Proposal</w:t>
      </w:r>
      <w:r w:rsidR="008B1962">
        <w:rPr>
          <w:b/>
          <w:lang w:val="en-US"/>
        </w:rPr>
        <w:t xml:space="preserve"> </w:t>
      </w:r>
      <w:r w:rsidR="00AB66AF">
        <w:rPr>
          <w:b/>
          <w:lang w:val="en-US"/>
        </w:rPr>
        <w:t>8</w:t>
      </w:r>
      <w:r w:rsidRPr="00EE74A9">
        <w:rPr>
          <w:b/>
          <w:lang w:val="en-US"/>
        </w:rPr>
        <w:t xml:space="preserve">: The NW configures </w:t>
      </w:r>
      <w:r w:rsidR="006D1D5A" w:rsidRPr="006D1D5A">
        <w:rPr>
          <w:b/>
          <w:lang w:val="en-US"/>
        </w:rPr>
        <w:t xml:space="preserve">data collection support </w:t>
      </w:r>
      <w:r w:rsidRPr="00EE74A9">
        <w:rPr>
          <w:b/>
          <w:lang w:val="en-US"/>
        </w:rPr>
        <w:t xml:space="preserve">information </w:t>
      </w:r>
      <w:r w:rsidR="00C81156" w:rsidRPr="00C81156">
        <w:rPr>
          <w:b/>
          <w:lang w:val="en-US"/>
        </w:rPr>
        <w:t>before the UE initiat</w:t>
      </w:r>
      <w:r w:rsidR="00C81156">
        <w:rPr>
          <w:b/>
          <w:lang w:val="en-US"/>
        </w:rPr>
        <w:t>es any data collection requests</w:t>
      </w:r>
      <w:r w:rsidRPr="00EE74A9">
        <w:rPr>
          <w:b/>
          <w:lang w:val="en-US"/>
        </w:rPr>
        <w:t>.</w:t>
      </w:r>
    </w:p>
    <w:p w14:paraId="126D6A6A" w14:textId="3B648BF8" w:rsidR="00F0462A" w:rsidRDefault="004D495B" w:rsidP="001D4400">
      <w:pPr>
        <w:spacing w:after="0"/>
        <w:rPr>
          <w:lang w:val="en-US"/>
        </w:rPr>
      </w:pPr>
      <w:r>
        <w:rPr>
          <w:lang w:val="en-US"/>
        </w:rPr>
        <w:t xml:space="preserve">When receiving the data collection request, the NW may decide not to send related training data collection configuration to the UE. </w:t>
      </w:r>
      <w:r w:rsidR="007316FD">
        <w:rPr>
          <w:lang w:val="en-US"/>
        </w:rPr>
        <w:t xml:space="preserve">To avoid frequent data collection request from the UE, the prohibit timer similar as </w:t>
      </w:r>
      <w:r w:rsidR="007316FD" w:rsidRPr="007316FD">
        <w:rPr>
          <w:i/>
          <w:lang w:val="en-US"/>
        </w:rPr>
        <w:t>onDemandSIB-RequestProhibitTimer</w:t>
      </w:r>
      <w:r w:rsidR="007316FD">
        <w:rPr>
          <w:lang w:val="en-US"/>
        </w:rPr>
        <w:t xml:space="preserve"> should be considered. </w:t>
      </w:r>
      <w:r w:rsidR="00470271">
        <w:rPr>
          <w:lang w:val="en-US"/>
        </w:rPr>
        <w:t>The prohibit timer can be provided to the UE in system information or dedicated RRC message.</w:t>
      </w:r>
    </w:p>
    <w:p w14:paraId="272E3F6A" w14:textId="3D0DF90F" w:rsidR="007316FD" w:rsidRPr="00D6776F" w:rsidRDefault="007E1950" w:rsidP="00F946DF">
      <w:pPr>
        <w:spacing w:before="240"/>
        <w:rPr>
          <w:b/>
          <w:lang w:val="en-US"/>
        </w:rPr>
      </w:pPr>
      <w:r w:rsidRPr="007E1950">
        <w:rPr>
          <w:b/>
          <w:lang w:val="en-US"/>
        </w:rPr>
        <w:t>Proposal 9: A prohibit timer is introduced to prevent the UE from immediately re-initiating a data collection request.</w:t>
      </w:r>
      <w:r w:rsidR="00470271" w:rsidRPr="00D6776F">
        <w:rPr>
          <w:b/>
          <w:lang w:val="en-US"/>
        </w:rPr>
        <w:t xml:space="preserve"> </w:t>
      </w:r>
    </w:p>
    <w:p w14:paraId="7183C9C0" w14:textId="6BC6D23F" w:rsidR="00EE74A9" w:rsidRPr="004B18C4" w:rsidRDefault="00EE74A9" w:rsidP="006D33C0">
      <w:pPr>
        <w:pStyle w:val="Heading3"/>
        <w:numPr>
          <w:ilvl w:val="2"/>
          <w:numId w:val="28"/>
        </w:numPr>
        <w:tabs>
          <w:tab w:val="left" w:pos="810"/>
          <w:tab w:val="left" w:pos="1170"/>
        </w:tabs>
        <w:ind w:left="540"/>
      </w:pPr>
      <w:r>
        <w:t>Proactive scheme: data collection configuration wo UE request</w:t>
      </w:r>
    </w:p>
    <w:p w14:paraId="1D84A69A" w14:textId="24BF5F23" w:rsidR="00632C31" w:rsidRDefault="00355A03" w:rsidP="00E36105">
      <w:pPr>
        <w:rPr>
          <w:lang w:val="en-US"/>
        </w:rPr>
      </w:pPr>
      <w:r>
        <w:rPr>
          <w:lang w:val="en-US"/>
        </w:rPr>
        <w:t xml:space="preserve">In the proactive scheme, the UE reports the UE capability of the data collection configuration or preferred data collection configuration(s) to the NW. </w:t>
      </w:r>
      <w:r w:rsidR="00CA2CFF">
        <w:rPr>
          <w:lang w:val="en-US"/>
        </w:rPr>
        <w:t>The UE may not initiate the data collection request. When the NW can support the related data collection configuration and has enough resources, t</w:t>
      </w:r>
      <w:r>
        <w:rPr>
          <w:lang w:val="en-US"/>
        </w:rPr>
        <w:t>he NW can proactively provide the related data collection configuration to the UE</w:t>
      </w:r>
      <w:r w:rsidR="00301DC2">
        <w:rPr>
          <w:lang w:val="en-US"/>
        </w:rPr>
        <w:t xml:space="preserve"> based on UE</w:t>
      </w:r>
      <w:r w:rsidR="005863ED">
        <w:rPr>
          <w:lang w:val="en-US"/>
        </w:rPr>
        <w:t xml:space="preserve"> capability</w:t>
      </w:r>
      <w:r w:rsidR="00301DC2">
        <w:rPr>
          <w:lang w:val="en-US"/>
        </w:rPr>
        <w:t xml:space="preserve">. </w:t>
      </w:r>
    </w:p>
    <w:p w14:paraId="05C00A4A" w14:textId="66C93B54" w:rsidR="00CF0C55" w:rsidRDefault="00CF0C55" w:rsidP="00CF0C55">
      <w:pPr>
        <w:rPr>
          <w:b/>
          <w:lang w:val="en-US"/>
        </w:rPr>
      </w:pPr>
      <w:r w:rsidRPr="00DF4C48">
        <w:rPr>
          <w:b/>
          <w:lang w:val="en-US"/>
        </w:rPr>
        <w:t xml:space="preserve">Proposal </w:t>
      </w:r>
      <w:r w:rsidR="00AB66AF">
        <w:rPr>
          <w:b/>
          <w:lang w:val="en-US"/>
        </w:rPr>
        <w:t>10</w:t>
      </w:r>
      <w:r w:rsidRPr="00DF4C48">
        <w:rPr>
          <w:b/>
          <w:lang w:val="en-US"/>
        </w:rPr>
        <w:t xml:space="preserve">: </w:t>
      </w:r>
      <w:r w:rsidR="00830A59" w:rsidRPr="00830A59">
        <w:rPr>
          <w:b/>
          <w:lang w:val="en-US"/>
        </w:rPr>
        <w:t xml:space="preserve">The </w:t>
      </w:r>
      <w:r w:rsidR="00830A59">
        <w:rPr>
          <w:b/>
          <w:lang w:val="en-US"/>
        </w:rPr>
        <w:t xml:space="preserve">UE provides </w:t>
      </w:r>
      <w:r w:rsidR="00830A59" w:rsidRPr="00C349F6">
        <w:rPr>
          <w:b/>
          <w:lang w:val="en-US"/>
        </w:rPr>
        <w:t>data collection related capability to the NW</w:t>
      </w:r>
      <w:r w:rsidR="00830A59" w:rsidRPr="00830A59">
        <w:rPr>
          <w:b/>
          <w:lang w:val="en-US"/>
        </w:rPr>
        <w:t xml:space="preserve"> </w:t>
      </w:r>
      <w:r w:rsidR="00830A59">
        <w:rPr>
          <w:b/>
          <w:lang w:val="en-US"/>
        </w:rPr>
        <w:t>and the NW</w:t>
      </w:r>
      <w:r w:rsidR="00C15CB9">
        <w:rPr>
          <w:b/>
          <w:lang w:val="en-US"/>
        </w:rPr>
        <w:t xml:space="preserve"> </w:t>
      </w:r>
      <w:r w:rsidR="00830A59" w:rsidRPr="00830A59">
        <w:rPr>
          <w:b/>
          <w:lang w:val="en-US"/>
        </w:rPr>
        <w:t>provide</w:t>
      </w:r>
      <w:r w:rsidR="0065728D">
        <w:rPr>
          <w:b/>
          <w:lang w:val="en-US"/>
        </w:rPr>
        <w:t>s</w:t>
      </w:r>
      <w:r w:rsidR="00830A59" w:rsidRPr="00830A59">
        <w:rPr>
          <w:b/>
          <w:lang w:val="en-US"/>
        </w:rPr>
        <w:t xml:space="preserve"> the data collection configuration without UE request. </w:t>
      </w:r>
      <w:r w:rsidRPr="00DF4C48">
        <w:rPr>
          <w:b/>
          <w:lang w:val="en-US"/>
        </w:rPr>
        <w:t xml:space="preserve"> </w:t>
      </w:r>
    </w:p>
    <w:p w14:paraId="1BA34419" w14:textId="3AD53B6E" w:rsidR="0015375E" w:rsidRPr="004B18C4" w:rsidRDefault="00E90206" w:rsidP="006D33C0">
      <w:pPr>
        <w:pStyle w:val="Heading3"/>
        <w:numPr>
          <w:ilvl w:val="2"/>
          <w:numId w:val="28"/>
        </w:numPr>
        <w:tabs>
          <w:tab w:val="left" w:pos="810"/>
        </w:tabs>
        <w:ind w:left="450"/>
      </w:pPr>
      <w:r>
        <w:t>Failure Indication</w:t>
      </w:r>
    </w:p>
    <w:p w14:paraId="61783F35" w14:textId="2482FC3D" w:rsidR="0015375E" w:rsidRDefault="00E90206" w:rsidP="0015375E">
      <w:pPr>
        <w:rPr>
          <w:lang w:val="en-US"/>
        </w:rPr>
      </w:pPr>
      <w:r>
        <w:rPr>
          <w:lang w:val="en-US"/>
        </w:rPr>
        <w:t xml:space="preserve">Based on </w:t>
      </w:r>
      <w:r w:rsidR="00675235">
        <w:rPr>
          <w:lang w:val="en-US"/>
        </w:rPr>
        <w:t>the previous solutions</w:t>
      </w:r>
      <w:r>
        <w:rPr>
          <w:lang w:val="en-US"/>
        </w:rPr>
        <w:t>, the UE receives the data collection configuration</w:t>
      </w:r>
      <w:r w:rsidR="00675235">
        <w:rPr>
          <w:lang w:val="en-US"/>
        </w:rPr>
        <w:t xml:space="preserve"> from NW</w:t>
      </w:r>
      <w:r>
        <w:rPr>
          <w:lang w:val="en-US"/>
        </w:rPr>
        <w:t xml:space="preserve"> for UE-side data collection</w:t>
      </w:r>
      <w:r w:rsidR="00675235">
        <w:rPr>
          <w:lang w:val="en-US"/>
        </w:rPr>
        <w:t xml:space="preserve"> and</w:t>
      </w:r>
      <w:r>
        <w:rPr>
          <w:lang w:val="en-US"/>
        </w:rPr>
        <w:t xml:space="preserve"> the NW </w:t>
      </w:r>
      <w:r w:rsidR="00675235">
        <w:rPr>
          <w:lang w:val="en-US"/>
        </w:rPr>
        <w:t xml:space="preserve">concurrently </w:t>
      </w:r>
      <w:r>
        <w:rPr>
          <w:lang w:val="en-US"/>
        </w:rPr>
        <w:t xml:space="preserve">provides the measurement resources. When the UE </w:t>
      </w:r>
      <w:r w:rsidR="00BB7D3F">
        <w:rPr>
          <w:lang w:val="en-US"/>
        </w:rPr>
        <w:t>is unable to</w:t>
      </w:r>
      <w:r>
        <w:rPr>
          <w:lang w:val="en-US"/>
        </w:rPr>
        <w:t xml:space="preserve"> perform data collection based on </w:t>
      </w:r>
      <w:r>
        <w:rPr>
          <w:lang w:val="en-US"/>
        </w:rPr>
        <w:lastRenderedPageBreak/>
        <w:t xml:space="preserve">received configuration, it is </w:t>
      </w:r>
      <w:r w:rsidR="00BB7D3F">
        <w:rPr>
          <w:lang w:val="en-US"/>
        </w:rPr>
        <w:t>essential</w:t>
      </w:r>
      <w:r>
        <w:rPr>
          <w:lang w:val="en-US"/>
        </w:rPr>
        <w:t xml:space="preserve"> for the UE to </w:t>
      </w:r>
      <w:r w:rsidR="00BB7D3F">
        <w:rPr>
          <w:lang w:val="en-US"/>
        </w:rPr>
        <w:t>notify the NW. The notification allow</w:t>
      </w:r>
      <w:r w:rsidR="005B7C1B">
        <w:rPr>
          <w:lang w:val="en-US"/>
        </w:rPr>
        <w:t>s</w:t>
      </w:r>
      <w:r w:rsidR="00BB7D3F">
        <w:rPr>
          <w:lang w:val="en-US"/>
        </w:rPr>
        <w:t xml:space="preserve"> the NW to cease providing unnecessary</w:t>
      </w:r>
      <w:r>
        <w:rPr>
          <w:lang w:val="en-US"/>
        </w:rPr>
        <w:t xml:space="preserve"> measurement resources. This </w:t>
      </w:r>
      <w:r w:rsidR="005B7C1B">
        <w:rPr>
          <w:lang w:val="en-US"/>
        </w:rPr>
        <w:t xml:space="preserve">can </w:t>
      </w:r>
      <w:r w:rsidR="009537D9">
        <w:rPr>
          <w:lang w:val="en-US"/>
        </w:rPr>
        <w:t>conserve</w:t>
      </w:r>
      <w:r w:rsidR="005B7C1B">
        <w:rPr>
          <w:lang w:val="en-US"/>
        </w:rPr>
        <w:t xml:space="preserve"> network</w:t>
      </w:r>
      <w:r>
        <w:rPr>
          <w:lang w:val="en-US"/>
        </w:rPr>
        <w:t xml:space="preserve"> resources.</w:t>
      </w:r>
    </w:p>
    <w:p w14:paraId="4ADB5BC8" w14:textId="7C0DEFE1" w:rsidR="00E90206" w:rsidRDefault="005B7C1B" w:rsidP="0015375E">
      <w:pPr>
        <w:rPr>
          <w:lang w:val="en-US"/>
        </w:rPr>
      </w:pPr>
      <w:r>
        <w:rPr>
          <w:lang w:val="en-US"/>
        </w:rPr>
        <w:t>Moreover</w:t>
      </w:r>
      <w:r w:rsidR="00E90206">
        <w:rPr>
          <w:lang w:val="en-US"/>
        </w:rPr>
        <w:t xml:space="preserve">, the UE can provide </w:t>
      </w:r>
      <w:r>
        <w:rPr>
          <w:lang w:val="en-US"/>
        </w:rPr>
        <w:t>additional</w:t>
      </w:r>
      <w:r w:rsidR="00E90206">
        <w:rPr>
          <w:lang w:val="en-US"/>
        </w:rPr>
        <w:t xml:space="preserve"> information</w:t>
      </w:r>
      <w:r>
        <w:rPr>
          <w:lang w:val="en-US"/>
        </w:rPr>
        <w:t xml:space="preserve">, e.g., specifying </w:t>
      </w:r>
      <w:r w:rsidR="00E90206">
        <w:rPr>
          <w:lang w:val="en-US"/>
        </w:rPr>
        <w:t xml:space="preserve">the reason </w:t>
      </w:r>
      <w:r>
        <w:rPr>
          <w:lang w:val="en-US"/>
        </w:rPr>
        <w:t>for its inability to</w:t>
      </w:r>
      <w:r w:rsidR="00E90206">
        <w:rPr>
          <w:lang w:val="en-US"/>
        </w:rPr>
        <w:t xml:space="preserve"> perform data collection. The po</w:t>
      </w:r>
      <w:r>
        <w:rPr>
          <w:lang w:val="en-US"/>
        </w:rPr>
        <w:t>tential</w:t>
      </w:r>
      <w:r w:rsidR="00E90206">
        <w:rPr>
          <w:lang w:val="en-US"/>
        </w:rPr>
        <w:t xml:space="preserve"> reason</w:t>
      </w:r>
      <w:r>
        <w:rPr>
          <w:lang w:val="en-US"/>
        </w:rPr>
        <w:t>s</w:t>
      </w:r>
      <w:r w:rsidR="00E90206">
        <w:rPr>
          <w:lang w:val="en-US"/>
        </w:rPr>
        <w:t xml:space="preserve"> can </w:t>
      </w:r>
      <w:r>
        <w:rPr>
          <w:lang w:val="en-US"/>
        </w:rPr>
        <w:t xml:space="preserve">include </w:t>
      </w:r>
      <w:r w:rsidR="00E90206">
        <w:rPr>
          <w:lang w:val="en-US"/>
        </w:rPr>
        <w:t>abnormal UE state</w:t>
      </w:r>
      <w:r>
        <w:rPr>
          <w:lang w:val="en-US"/>
        </w:rPr>
        <w:t>s (</w:t>
      </w:r>
      <w:r w:rsidR="00E90206">
        <w:rPr>
          <w:lang w:val="en-US"/>
        </w:rPr>
        <w:t>e.g., low power, low memory or overheating</w:t>
      </w:r>
      <w:r>
        <w:rPr>
          <w:lang w:val="en-US"/>
        </w:rPr>
        <w:t>)</w:t>
      </w:r>
      <w:r w:rsidR="00E90206">
        <w:rPr>
          <w:lang w:val="en-US"/>
        </w:rPr>
        <w:t xml:space="preserve"> or inconsistency of the </w:t>
      </w:r>
      <w:r w:rsidR="001C73F4">
        <w:rPr>
          <w:lang w:val="en-US"/>
        </w:rPr>
        <w:t xml:space="preserve">NW </w:t>
      </w:r>
      <w:r w:rsidR="00E90206">
        <w:rPr>
          <w:lang w:val="en-US"/>
        </w:rPr>
        <w:t>configurations</w:t>
      </w:r>
      <w:r>
        <w:rPr>
          <w:lang w:val="en-US"/>
        </w:rPr>
        <w:t xml:space="preserve"> (</w:t>
      </w:r>
      <w:r w:rsidR="00E90206">
        <w:rPr>
          <w:lang w:val="en-US"/>
        </w:rPr>
        <w:t xml:space="preserve">e.g., </w:t>
      </w:r>
      <w:r w:rsidR="001C73F4">
        <w:rPr>
          <w:lang w:val="en-US"/>
        </w:rPr>
        <w:t>NW-side</w:t>
      </w:r>
      <w:r w:rsidR="00E90206">
        <w:rPr>
          <w:lang w:val="en-US"/>
        </w:rPr>
        <w:t xml:space="preserve"> associated ID</w:t>
      </w:r>
      <w:r>
        <w:rPr>
          <w:lang w:val="en-US"/>
        </w:rPr>
        <w:t>)</w:t>
      </w:r>
      <w:r w:rsidR="00E90206">
        <w:rPr>
          <w:lang w:val="en-US"/>
        </w:rPr>
        <w:t>.</w:t>
      </w:r>
    </w:p>
    <w:p w14:paraId="27439231" w14:textId="3DB88A31" w:rsidR="00C15CB9" w:rsidRPr="005B7C1B" w:rsidRDefault="00C15CB9" w:rsidP="00C15CB9">
      <w:pPr>
        <w:pStyle w:val="NormalWeb"/>
        <w:rPr>
          <w:rFonts w:eastAsia="SimSun"/>
          <w:b/>
          <w:sz w:val="20"/>
          <w:szCs w:val="20"/>
          <w:lang w:eastAsia="en-GB"/>
        </w:rPr>
      </w:pPr>
      <w:r w:rsidRPr="005B7C1B">
        <w:rPr>
          <w:rFonts w:eastAsia="SimSun"/>
          <w:b/>
          <w:bCs/>
          <w:sz w:val="20"/>
          <w:szCs w:val="20"/>
          <w:lang w:eastAsia="en-GB"/>
        </w:rPr>
        <w:t>Proposal 11:</w:t>
      </w:r>
      <w:r w:rsidRPr="005B7C1B">
        <w:rPr>
          <w:rFonts w:eastAsia="SimSun"/>
          <w:b/>
          <w:sz w:val="20"/>
          <w:szCs w:val="20"/>
          <w:lang w:eastAsia="en-GB"/>
        </w:rPr>
        <w:t xml:space="preserve"> The UE send</w:t>
      </w:r>
      <w:r w:rsidR="005B7C1B" w:rsidRPr="005B7C1B">
        <w:rPr>
          <w:rFonts w:eastAsia="SimSun"/>
          <w:b/>
          <w:sz w:val="20"/>
          <w:szCs w:val="20"/>
          <w:lang w:eastAsia="en-GB"/>
        </w:rPr>
        <w:t>s</w:t>
      </w:r>
      <w:r w:rsidRPr="005B7C1B">
        <w:rPr>
          <w:rFonts w:eastAsia="SimSun"/>
          <w:b/>
          <w:sz w:val="20"/>
          <w:szCs w:val="20"/>
          <w:lang w:eastAsia="en-GB"/>
        </w:rPr>
        <w:t xml:space="preserve"> an indication to the NW, specifying the reason</w:t>
      </w:r>
      <w:r w:rsidR="001C73F4">
        <w:rPr>
          <w:rFonts w:eastAsia="SimSun"/>
          <w:b/>
          <w:sz w:val="20"/>
          <w:szCs w:val="20"/>
          <w:lang w:eastAsia="en-GB"/>
        </w:rPr>
        <w:t xml:space="preserve"> (e.g., UE inability or inconsistency of NW configuration)</w:t>
      </w:r>
      <w:r w:rsidRPr="005B7C1B">
        <w:rPr>
          <w:rFonts w:eastAsia="SimSun"/>
          <w:b/>
          <w:sz w:val="20"/>
          <w:szCs w:val="20"/>
          <w:lang w:eastAsia="en-GB"/>
        </w:rPr>
        <w:t xml:space="preserve"> when it is unable to perform the configured data collection.</w:t>
      </w:r>
    </w:p>
    <w:p w14:paraId="6A716080" w14:textId="592137A2" w:rsidR="00B97703" w:rsidRDefault="00B97703" w:rsidP="005D5294">
      <w:pPr>
        <w:pStyle w:val="Heading1"/>
      </w:pPr>
      <w:r w:rsidRPr="000F6242">
        <w:t>3</w:t>
      </w:r>
      <w:r w:rsidR="001C7083">
        <w:t xml:space="preserve"> Conclusion</w:t>
      </w:r>
    </w:p>
    <w:p w14:paraId="1A900AA9" w14:textId="2B0AB4D2" w:rsidR="00FF6C41" w:rsidRDefault="00EA07B3" w:rsidP="00FF6C41">
      <w:pPr>
        <w:rPr>
          <w:bCs/>
        </w:rPr>
      </w:pPr>
      <w:r>
        <w:rPr>
          <w:bCs/>
        </w:rPr>
        <w:t>In this contribution, we discussed the potential solutions on the remaining FFSs and gave more considerations on the applicable functionality reporting schemes. The related observation and proposals are summarized below:</w:t>
      </w:r>
    </w:p>
    <w:p w14:paraId="46752C33" w14:textId="503AE6FC" w:rsidR="00932A89" w:rsidRPr="00932A89" w:rsidRDefault="00932A89" w:rsidP="00CD2C1D">
      <w:pPr>
        <w:rPr>
          <w:i/>
          <w:u w:val="single"/>
          <w:lang w:eastAsia="zh-CN"/>
        </w:rPr>
      </w:pPr>
      <w:r w:rsidRPr="00932A89">
        <w:rPr>
          <w:i/>
          <w:u w:val="single"/>
          <w:lang w:eastAsia="zh-CN"/>
        </w:rPr>
        <w:t>Supported functionality information</w:t>
      </w:r>
      <w:r>
        <w:rPr>
          <w:i/>
          <w:u w:val="single"/>
          <w:lang w:eastAsia="zh-CN"/>
        </w:rPr>
        <w:t>:</w:t>
      </w:r>
    </w:p>
    <w:p w14:paraId="7067CD22" w14:textId="012AC93F" w:rsidR="009653BE" w:rsidRDefault="009653BE" w:rsidP="009653BE">
      <w:pPr>
        <w:rPr>
          <w:b/>
        </w:rPr>
      </w:pPr>
      <w:r w:rsidRPr="002B6083">
        <w:rPr>
          <w:b/>
        </w:rPr>
        <w:t xml:space="preserve">Proposal 1: UE reports functionality </w:t>
      </w:r>
      <w:r>
        <w:rPr>
          <w:b/>
        </w:rPr>
        <w:t>IDs</w:t>
      </w:r>
      <w:r w:rsidRPr="002B6083">
        <w:rPr>
          <w:b/>
        </w:rPr>
        <w:t xml:space="preserve"> </w:t>
      </w:r>
      <w:r>
        <w:rPr>
          <w:b/>
        </w:rPr>
        <w:t xml:space="preserve">of </w:t>
      </w:r>
      <w:r w:rsidRPr="002B6083">
        <w:rPr>
          <w:b/>
        </w:rPr>
        <w:t>supported functionalities</w:t>
      </w:r>
      <w:r>
        <w:rPr>
          <w:b/>
        </w:rPr>
        <w:t>, i.e., in the granularity of</w:t>
      </w:r>
      <w:r w:rsidRPr="002B6083">
        <w:rPr>
          <w:b/>
        </w:rPr>
        <w:t xml:space="preserve"> </w:t>
      </w:r>
      <w:r>
        <w:rPr>
          <w:b/>
        </w:rPr>
        <w:t xml:space="preserve">AI/ML-enabled feature/FGs, </w:t>
      </w:r>
      <w:r>
        <w:rPr>
          <w:rFonts w:hint="eastAsia"/>
          <w:b/>
        </w:rPr>
        <w:t>in</w:t>
      </w:r>
      <w:r>
        <w:rPr>
          <w:b/>
        </w:rPr>
        <w:t xml:space="preserve"> </w:t>
      </w:r>
      <w:r w:rsidRPr="001F1CBE">
        <w:rPr>
          <w:b/>
          <w:i/>
        </w:rPr>
        <w:t>UECapablityInformation</w:t>
      </w:r>
      <w:r w:rsidRPr="001F1CBE">
        <w:rPr>
          <w:b/>
        </w:rPr>
        <w:t xml:space="preserve"> message</w:t>
      </w:r>
      <w:r w:rsidRPr="002B6083">
        <w:rPr>
          <w:b/>
        </w:rPr>
        <w:t>.</w:t>
      </w:r>
    </w:p>
    <w:p w14:paraId="75F0DD78" w14:textId="4A1E210A" w:rsidR="001159DA" w:rsidRPr="001159DA" w:rsidRDefault="001159DA" w:rsidP="001159DA">
      <w:pPr>
        <w:rPr>
          <w:i/>
          <w:u w:val="single"/>
          <w:lang w:val="en-US" w:eastAsia="zh-CN"/>
        </w:rPr>
      </w:pPr>
      <w:r w:rsidRPr="001159DA">
        <w:rPr>
          <w:i/>
          <w:u w:val="single"/>
          <w:lang w:eastAsia="zh-CN"/>
        </w:rPr>
        <w:t xml:space="preserve">Applicable functionality </w:t>
      </w:r>
      <w:r>
        <w:rPr>
          <w:i/>
          <w:u w:val="single"/>
          <w:lang w:eastAsia="zh-CN"/>
        </w:rPr>
        <w:t>content and reporting</w:t>
      </w:r>
      <w:r w:rsidRPr="001159DA">
        <w:rPr>
          <w:i/>
          <w:u w:val="single"/>
          <w:lang w:eastAsia="zh-CN"/>
        </w:rPr>
        <w:t>:</w:t>
      </w:r>
    </w:p>
    <w:p w14:paraId="50C0CCEB" w14:textId="77777777" w:rsidR="00140EB4" w:rsidRPr="00EC02D2" w:rsidRDefault="00140EB4" w:rsidP="00140EB4">
      <w:pPr>
        <w:rPr>
          <w:b/>
        </w:rPr>
      </w:pPr>
      <w:r w:rsidRPr="00EC02D2">
        <w:rPr>
          <w:b/>
        </w:rPr>
        <w:t xml:space="preserve">Proposal </w:t>
      </w:r>
      <w:r>
        <w:rPr>
          <w:b/>
        </w:rPr>
        <w:t>2</w:t>
      </w:r>
      <w:r w:rsidRPr="00EC02D2">
        <w:rPr>
          <w:b/>
        </w:rPr>
        <w:t xml:space="preserve">: For the content of applicable functionality reporting, the following two </w:t>
      </w:r>
      <w:r>
        <w:rPr>
          <w:b/>
        </w:rPr>
        <w:t>option</w:t>
      </w:r>
      <w:r w:rsidRPr="00EC02D2">
        <w:rPr>
          <w:b/>
        </w:rPr>
        <w:t>s can be considered:</w:t>
      </w:r>
    </w:p>
    <w:p w14:paraId="0F8223B3" w14:textId="77777777" w:rsidR="00140EB4" w:rsidRPr="00EC02D2" w:rsidRDefault="00140EB4" w:rsidP="00140EB4">
      <w:pPr>
        <w:pStyle w:val="ListParagraph"/>
        <w:numPr>
          <w:ilvl w:val="0"/>
          <w:numId w:val="10"/>
        </w:numPr>
        <w:ind w:left="360"/>
        <w:rPr>
          <w:b/>
        </w:rPr>
      </w:pPr>
      <w:r w:rsidRPr="00EC02D2">
        <w:rPr>
          <w:b/>
        </w:rPr>
        <w:t xml:space="preserve">Opt 1: explicit functionality </w:t>
      </w:r>
      <w:r>
        <w:rPr>
          <w:b/>
        </w:rPr>
        <w:t>ID</w:t>
      </w:r>
      <w:r w:rsidRPr="00EC02D2">
        <w:rPr>
          <w:b/>
        </w:rPr>
        <w:t xml:space="preserve"> of the applicable functionality</w:t>
      </w:r>
    </w:p>
    <w:p w14:paraId="0EA032B7" w14:textId="77777777" w:rsidR="00140EB4" w:rsidRPr="00EC02D2" w:rsidRDefault="00140EB4" w:rsidP="00140EB4">
      <w:pPr>
        <w:pStyle w:val="ListParagraph"/>
        <w:numPr>
          <w:ilvl w:val="0"/>
          <w:numId w:val="10"/>
        </w:numPr>
        <w:ind w:left="360"/>
        <w:rPr>
          <w:b/>
          <w:lang w:eastAsia="zh-CN"/>
        </w:rPr>
      </w:pPr>
      <w:r w:rsidRPr="00EC02D2">
        <w:rPr>
          <w:b/>
        </w:rPr>
        <w:t>Opt 2: implicit information</w:t>
      </w:r>
      <w:r>
        <w:rPr>
          <w:b/>
        </w:rPr>
        <w:t xml:space="preserve"> (e.g., bitmap)</w:t>
      </w:r>
      <w:r w:rsidRPr="00EC02D2">
        <w:rPr>
          <w:b/>
        </w:rPr>
        <w:t xml:space="preserve"> mapped to the </w:t>
      </w:r>
      <w:r>
        <w:rPr>
          <w:b/>
        </w:rPr>
        <w:t xml:space="preserve">supported </w:t>
      </w:r>
      <w:r w:rsidRPr="00EC02D2">
        <w:rPr>
          <w:b/>
        </w:rPr>
        <w:t>functionalit</w:t>
      </w:r>
      <w:r>
        <w:rPr>
          <w:b/>
        </w:rPr>
        <w:t>y ID</w:t>
      </w:r>
    </w:p>
    <w:p w14:paraId="628B2007" w14:textId="77777777" w:rsidR="00140EB4" w:rsidRPr="006E604C" w:rsidRDefault="00140EB4" w:rsidP="00140EB4">
      <w:pPr>
        <w:rPr>
          <w:b/>
        </w:rPr>
      </w:pPr>
      <w:r w:rsidRPr="006E604C">
        <w:rPr>
          <w:b/>
        </w:rPr>
        <w:t xml:space="preserve">Proposal </w:t>
      </w:r>
      <w:r>
        <w:rPr>
          <w:b/>
        </w:rPr>
        <w:t>3</w:t>
      </w:r>
      <w:r w:rsidRPr="006E604C">
        <w:rPr>
          <w:b/>
        </w:rPr>
        <w:t xml:space="preserve">: The applicable functionalities are reported, categorized by the associated </w:t>
      </w:r>
      <w:r w:rsidRPr="006E604C">
        <w:rPr>
          <w:b/>
          <w:i/>
        </w:rPr>
        <w:t>CSI-ReportConfig</w:t>
      </w:r>
      <w:r w:rsidRPr="006E604C">
        <w:rPr>
          <w:b/>
        </w:rPr>
        <w:t xml:space="preserve"> or set of inference-related parameters</w:t>
      </w:r>
      <w:r>
        <w:rPr>
          <w:b/>
        </w:rPr>
        <w:t>.</w:t>
      </w:r>
    </w:p>
    <w:p w14:paraId="4E31E3B2" w14:textId="770C871B" w:rsidR="00140EB4" w:rsidRPr="001A0B48" w:rsidRDefault="00140EB4" w:rsidP="00140EB4">
      <w:pPr>
        <w:rPr>
          <w:b/>
        </w:rPr>
      </w:pPr>
      <w:r w:rsidRPr="001A0B48">
        <w:rPr>
          <w:b/>
        </w:rPr>
        <w:t>Proposal</w:t>
      </w:r>
      <w:r>
        <w:rPr>
          <w:b/>
        </w:rPr>
        <w:t xml:space="preserve"> </w:t>
      </w:r>
      <w:r w:rsidR="009653BE">
        <w:rPr>
          <w:b/>
        </w:rPr>
        <w:t>4</w:t>
      </w:r>
      <w:r w:rsidRPr="001A0B48">
        <w:rPr>
          <w:b/>
        </w:rPr>
        <w:t xml:space="preserve">: Reporting applicable functionality in RRC Reconfiguration Complete or UAI </w:t>
      </w:r>
      <w:r>
        <w:rPr>
          <w:b/>
        </w:rPr>
        <w:t xml:space="preserve">message </w:t>
      </w:r>
      <w:r w:rsidRPr="001A0B48">
        <w:rPr>
          <w:b/>
        </w:rPr>
        <w:t>can</w:t>
      </w:r>
      <w:r>
        <w:rPr>
          <w:b/>
        </w:rPr>
        <w:t xml:space="preserve"> be</w:t>
      </w:r>
    </w:p>
    <w:p w14:paraId="6AF8F5A2" w14:textId="03F5A152" w:rsidR="00140EB4" w:rsidRDefault="00140EB4" w:rsidP="00140EB4">
      <w:pPr>
        <w:pStyle w:val="ListParagraph"/>
        <w:numPr>
          <w:ilvl w:val="0"/>
          <w:numId w:val="29"/>
        </w:numPr>
        <w:rPr>
          <w:b/>
        </w:rPr>
      </w:pPr>
      <w:r w:rsidRPr="009629BA">
        <w:rPr>
          <w:b/>
        </w:rPr>
        <w:t xml:space="preserve">Opt 1: up to UE implementation </w:t>
      </w:r>
    </w:p>
    <w:p w14:paraId="6BF43D1D" w14:textId="77777777" w:rsidR="00140EB4" w:rsidRPr="009629BA" w:rsidRDefault="00140EB4" w:rsidP="00140EB4">
      <w:pPr>
        <w:pStyle w:val="ListParagraph"/>
        <w:numPr>
          <w:ilvl w:val="1"/>
          <w:numId w:val="29"/>
        </w:numPr>
        <w:rPr>
          <w:b/>
        </w:rPr>
      </w:pPr>
      <w:r w:rsidRPr="009629BA">
        <w:rPr>
          <w:b/>
        </w:rPr>
        <w:t xml:space="preserve">If </w:t>
      </w:r>
      <w:r>
        <w:rPr>
          <w:b/>
        </w:rPr>
        <w:t>t</w:t>
      </w:r>
      <w:r w:rsidRPr="007A03BF">
        <w:rPr>
          <w:b/>
        </w:rPr>
        <w:t xml:space="preserve">he </w:t>
      </w:r>
      <w:r w:rsidRPr="007A03BF">
        <w:rPr>
          <w:b/>
          <w:i/>
        </w:rPr>
        <w:t>RRCReconfigurationComplete</w:t>
      </w:r>
      <w:r w:rsidRPr="007A03BF">
        <w:rPr>
          <w:b/>
        </w:rPr>
        <w:t xml:space="preserve"> message contains no applicable functionalities, the UE sends an additional indication to the NW that no functionalities are available or that applicability checking was not performed.</w:t>
      </w:r>
    </w:p>
    <w:p w14:paraId="43CBFEAA" w14:textId="414C7DAE" w:rsidR="00092108" w:rsidRDefault="00140EB4" w:rsidP="00140EB4">
      <w:pPr>
        <w:pStyle w:val="ListParagraph"/>
        <w:numPr>
          <w:ilvl w:val="0"/>
          <w:numId w:val="29"/>
        </w:numPr>
        <w:rPr>
          <w:b/>
        </w:rPr>
      </w:pPr>
      <w:r w:rsidRPr="009629BA">
        <w:rPr>
          <w:b/>
        </w:rPr>
        <w:t xml:space="preserve">Opt 2: </w:t>
      </w:r>
      <w:r w:rsidR="00092108">
        <w:rPr>
          <w:b/>
        </w:rPr>
        <w:t xml:space="preserve">based on </w:t>
      </w:r>
      <w:r w:rsidRPr="009629BA">
        <w:rPr>
          <w:b/>
        </w:rPr>
        <w:t>explicit information from NW</w:t>
      </w:r>
      <w:r w:rsidR="00092108">
        <w:rPr>
          <w:b/>
        </w:rPr>
        <w:t xml:space="preserve"> </w:t>
      </w:r>
      <w:r w:rsidR="00092108" w:rsidRPr="009629BA">
        <w:rPr>
          <w:b/>
        </w:rPr>
        <w:t>(</w:t>
      </w:r>
      <w:r w:rsidR="00092108">
        <w:rPr>
          <w:b/>
        </w:rPr>
        <w:t>similar as</w:t>
      </w:r>
      <w:r w:rsidR="00092108" w:rsidRPr="009629BA">
        <w:rPr>
          <w:b/>
        </w:rPr>
        <w:t xml:space="preserve"> measurement gap </w:t>
      </w:r>
      <w:r w:rsidR="00092108">
        <w:rPr>
          <w:b/>
        </w:rPr>
        <w:t xml:space="preserve">reporting </w:t>
      </w:r>
      <w:r w:rsidR="00092108" w:rsidRPr="009629BA">
        <w:rPr>
          <w:b/>
        </w:rPr>
        <w:t>scheme)</w:t>
      </w:r>
    </w:p>
    <w:p w14:paraId="13D965B8" w14:textId="03E2AE47" w:rsidR="00140EB4" w:rsidRPr="009629BA" w:rsidRDefault="00140EB4" w:rsidP="00092108">
      <w:pPr>
        <w:pStyle w:val="ListParagraph"/>
        <w:numPr>
          <w:ilvl w:val="1"/>
          <w:numId w:val="29"/>
        </w:numPr>
        <w:rPr>
          <w:b/>
        </w:rPr>
      </w:pPr>
      <w:r w:rsidRPr="009629BA">
        <w:rPr>
          <w:b/>
        </w:rPr>
        <w:t xml:space="preserve"> </w:t>
      </w:r>
      <w:r w:rsidR="00092108">
        <w:rPr>
          <w:b/>
        </w:rPr>
        <w:t>The explicit information</w:t>
      </w:r>
      <w:r w:rsidRPr="009629BA">
        <w:rPr>
          <w:b/>
        </w:rPr>
        <w:t xml:space="preserve"> indicate</w:t>
      </w:r>
      <w:r w:rsidR="00092108">
        <w:rPr>
          <w:b/>
        </w:rPr>
        <w:t>s</w:t>
      </w:r>
      <w:r w:rsidRPr="009629BA">
        <w:rPr>
          <w:b/>
        </w:rPr>
        <w:t xml:space="preserve"> the UE to firstly report via RRC R</w:t>
      </w:r>
      <w:r w:rsidR="00092108">
        <w:rPr>
          <w:b/>
        </w:rPr>
        <w:t>econfiguration Complete message.</w:t>
      </w:r>
    </w:p>
    <w:p w14:paraId="615C7D0B" w14:textId="68768C0C" w:rsidR="00140EB4" w:rsidRPr="000278A8" w:rsidRDefault="00140EB4" w:rsidP="009653BE">
      <w:pPr>
        <w:spacing w:after="0"/>
        <w:rPr>
          <w:b/>
          <w:bCs/>
        </w:rPr>
      </w:pPr>
      <w:r w:rsidRPr="004B0365">
        <w:rPr>
          <w:b/>
          <w:bCs/>
        </w:rPr>
        <w:t xml:space="preserve">Proposal </w:t>
      </w:r>
      <w:r w:rsidR="009653BE">
        <w:rPr>
          <w:b/>
          <w:bCs/>
        </w:rPr>
        <w:t>5</w:t>
      </w:r>
      <w:r w:rsidRPr="004B0365">
        <w:rPr>
          <w:b/>
          <w:bCs/>
        </w:rPr>
        <w:t xml:space="preserve">: </w:t>
      </w:r>
      <w:r w:rsidRPr="000278A8">
        <w:rPr>
          <w:b/>
          <w:bCs/>
        </w:rPr>
        <w:t>The NW can send a deactivation indication to the UE prior to receiving a non-applicability report.  The UE's behaviour depends on this indication:</w:t>
      </w:r>
    </w:p>
    <w:p w14:paraId="3436071B" w14:textId="77777777" w:rsidR="00140EB4" w:rsidRPr="000278A8" w:rsidRDefault="00140EB4" w:rsidP="00140EB4">
      <w:pPr>
        <w:pStyle w:val="ListParagraph"/>
        <w:numPr>
          <w:ilvl w:val="0"/>
          <w:numId w:val="21"/>
        </w:numPr>
        <w:spacing w:after="0"/>
        <w:rPr>
          <w:b/>
          <w:bCs/>
        </w:rPr>
      </w:pPr>
      <w:r w:rsidRPr="000278A8">
        <w:rPr>
          <w:b/>
          <w:bCs/>
        </w:rPr>
        <w:t>Deactivation Indication Present: The UE deactivates the previously activated functionality when it becomes non-applicable and informs the NW of the deactivation.</w:t>
      </w:r>
    </w:p>
    <w:p w14:paraId="17BB772B" w14:textId="77777777" w:rsidR="00140EB4" w:rsidRPr="00C4099E" w:rsidRDefault="00140EB4" w:rsidP="009653BE">
      <w:pPr>
        <w:pStyle w:val="ListParagraph"/>
        <w:numPr>
          <w:ilvl w:val="0"/>
          <w:numId w:val="21"/>
        </w:numPr>
        <w:spacing w:before="240"/>
        <w:rPr>
          <w:b/>
          <w:bCs/>
        </w:rPr>
      </w:pPr>
      <w:r w:rsidRPr="000278A8">
        <w:rPr>
          <w:b/>
          <w:bCs/>
        </w:rPr>
        <w:t>Deactivation Indication Absent: The UE sends a non-applicability report and expects the NW to deactivate the functionality in a subsequent response.</w:t>
      </w:r>
    </w:p>
    <w:p w14:paraId="0FED07BF" w14:textId="121240A5" w:rsidR="00140EB4" w:rsidRPr="00EB4580" w:rsidRDefault="00140EB4" w:rsidP="00140EB4">
      <w:pPr>
        <w:rPr>
          <w:b/>
          <w:lang w:val="en-US" w:eastAsia="zh-CN"/>
        </w:rPr>
      </w:pPr>
      <w:r w:rsidRPr="00EB4580">
        <w:rPr>
          <w:b/>
          <w:lang w:eastAsia="zh-CN"/>
        </w:rPr>
        <w:t xml:space="preserve">Proposal </w:t>
      </w:r>
      <w:r w:rsidR="009653BE">
        <w:rPr>
          <w:b/>
          <w:lang w:eastAsia="zh-CN"/>
        </w:rPr>
        <w:t>6</w:t>
      </w:r>
      <w:r w:rsidRPr="00EB4580">
        <w:rPr>
          <w:b/>
          <w:lang w:eastAsia="zh-CN"/>
        </w:rPr>
        <w:t>: RRC Resume and Reestablishment procedures can be used for request and reporting of the applicable functionality information.</w:t>
      </w:r>
    </w:p>
    <w:p w14:paraId="5E9E858F" w14:textId="5AC8B602" w:rsidR="001159DA" w:rsidRDefault="001159DA" w:rsidP="00DF4C48">
      <w:pPr>
        <w:rPr>
          <w:i/>
          <w:u w:val="single"/>
          <w:lang w:eastAsia="zh-CN"/>
        </w:rPr>
      </w:pPr>
      <w:r w:rsidRPr="001159DA">
        <w:rPr>
          <w:i/>
          <w:u w:val="single"/>
          <w:lang w:eastAsia="zh-CN"/>
        </w:rPr>
        <w:t>UE-side data collection:</w:t>
      </w:r>
    </w:p>
    <w:p w14:paraId="0D3C427B" w14:textId="5A32ECC5" w:rsidR="00530D49" w:rsidRPr="00530D49" w:rsidRDefault="00530D49" w:rsidP="00530D49">
      <w:pPr>
        <w:rPr>
          <w:i/>
          <w:u w:val="single"/>
          <w:lang w:eastAsia="zh-CN"/>
        </w:rPr>
      </w:pPr>
      <w:r>
        <w:rPr>
          <w:i/>
          <w:u w:val="single"/>
          <w:lang w:eastAsia="zh-CN"/>
        </w:rPr>
        <w:t>Re</w:t>
      </w:r>
      <w:r w:rsidRPr="00530D49">
        <w:rPr>
          <w:i/>
          <w:u w:val="single"/>
          <w:lang w:eastAsia="zh-CN"/>
        </w:rPr>
        <w:t>active approach with UE request:</w:t>
      </w:r>
    </w:p>
    <w:p w14:paraId="1AD775B4" w14:textId="77777777" w:rsidR="00C076F6" w:rsidRPr="007316FD" w:rsidRDefault="00C076F6" w:rsidP="005E0ADC">
      <w:pPr>
        <w:pStyle w:val="Comments"/>
        <w:spacing w:after="240"/>
        <w:rPr>
          <w:rFonts w:ascii="Times New Roman" w:eastAsia="SimSun" w:hAnsi="Times New Roman"/>
          <w:b/>
          <w:i w:val="0"/>
          <w:noProof w:val="0"/>
          <w:sz w:val="20"/>
          <w:szCs w:val="20"/>
          <w:lang w:val="en-US"/>
        </w:rPr>
      </w:pPr>
      <w:r w:rsidRPr="007316FD">
        <w:rPr>
          <w:rFonts w:ascii="Times New Roman" w:eastAsia="SimSun" w:hAnsi="Times New Roman"/>
          <w:b/>
          <w:i w:val="0"/>
          <w:noProof w:val="0"/>
          <w:sz w:val="20"/>
          <w:szCs w:val="20"/>
          <w:lang w:val="en-US"/>
        </w:rPr>
        <w:t>Proposal</w:t>
      </w:r>
      <w:r>
        <w:rPr>
          <w:rFonts w:ascii="Times New Roman" w:eastAsia="SimSun" w:hAnsi="Times New Roman"/>
          <w:b/>
          <w:i w:val="0"/>
          <w:noProof w:val="0"/>
          <w:sz w:val="20"/>
          <w:szCs w:val="20"/>
          <w:lang w:val="en-US"/>
        </w:rPr>
        <w:t xml:space="preserve"> 7</w:t>
      </w:r>
      <w:r w:rsidRPr="007316FD">
        <w:rPr>
          <w:rFonts w:ascii="Times New Roman" w:eastAsia="SimSun" w:hAnsi="Times New Roman"/>
          <w:b/>
          <w:i w:val="0"/>
          <w:noProof w:val="0"/>
          <w:sz w:val="20"/>
          <w:szCs w:val="20"/>
          <w:lang w:val="en-US"/>
        </w:rPr>
        <w:t xml:space="preserve">: The data collection request includes </w:t>
      </w:r>
      <w:r>
        <w:rPr>
          <w:rFonts w:ascii="Times New Roman" w:eastAsia="SimSun" w:hAnsi="Times New Roman"/>
          <w:b/>
          <w:i w:val="0"/>
          <w:noProof w:val="0"/>
          <w:sz w:val="20"/>
          <w:szCs w:val="20"/>
          <w:lang w:val="en-US"/>
        </w:rPr>
        <w:t xml:space="preserve">the preference for data collection configuration for the model to be trained, e.g., </w:t>
      </w:r>
      <w:r w:rsidRPr="007316FD">
        <w:rPr>
          <w:rFonts w:ascii="Times New Roman" w:eastAsia="SimSun" w:hAnsi="Times New Roman"/>
          <w:b/>
          <w:i w:val="0"/>
          <w:noProof w:val="0"/>
          <w:sz w:val="20"/>
          <w:szCs w:val="20"/>
          <w:lang w:val="en-US"/>
        </w:rPr>
        <w:t>the use case/feature/FG information</w:t>
      </w:r>
      <w:r>
        <w:rPr>
          <w:rFonts w:ascii="Times New Roman" w:eastAsia="SimSun" w:hAnsi="Times New Roman"/>
          <w:b/>
          <w:i w:val="0"/>
          <w:noProof w:val="0"/>
          <w:sz w:val="20"/>
          <w:szCs w:val="20"/>
          <w:lang w:val="en-US"/>
        </w:rPr>
        <w:t>,</w:t>
      </w:r>
      <w:r w:rsidRPr="007316FD">
        <w:rPr>
          <w:rFonts w:ascii="Times New Roman" w:eastAsia="SimSun" w:hAnsi="Times New Roman"/>
          <w:b/>
          <w:i w:val="0"/>
          <w:noProof w:val="0"/>
          <w:sz w:val="20"/>
          <w:szCs w:val="20"/>
          <w:lang w:val="en-US"/>
        </w:rPr>
        <w:t xml:space="preserve"> NW-side associated ID </w:t>
      </w:r>
      <w:r>
        <w:rPr>
          <w:rFonts w:ascii="Times New Roman" w:eastAsia="SimSun" w:hAnsi="Times New Roman"/>
          <w:b/>
          <w:i w:val="0"/>
          <w:noProof w:val="0"/>
          <w:sz w:val="20"/>
          <w:szCs w:val="20"/>
          <w:lang w:val="en-US"/>
        </w:rPr>
        <w:t>or</w:t>
      </w:r>
      <w:r w:rsidRPr="00640AA6">
        <w:t xml:space="preserve"> </w:t>
      </w:r>
      <w:r w:rsidRPr="00640AA6">
        <w:rPr>
          <w:rFonts w:ascii="Times New Roman" w:eastAsia="SimSun" w:hAnsi="Times New Roman"/>
          <w:b/>
          <w:i w:val="0"/>
          <w:noProof w:val="0"/>
          <w:sz w:val="20"/>
          <w:szCs w:val="20"/>
          <w:lang w:val="en-US"/>
        </w:rPr>
        <w:t>set A related information</w:t>
      </w:r>
      <w:r w:rsidRPr="007316FD">
        <w:rPr>
          <w:rFonts w:ascii="Times New Roman" w:eastAsia="SimSun" w:hAnsi="Times New Roman"/>
          <w:b/>
          <w:i w:val="0"/>
          <w:noProof w:val="0"/>
          <w:sz w:val="20"/>
          <w:szCs w:val="20"/>
          <w:lang w:val="en-US"/>
        </w:rPr>
        <w:t>.</w:t>
      </w:r>
    </w:p>
    <w:p w14:paraId="520113BD" w14:textId="5E60A3F0" w:rsidR="00065E4E" w:rsidRPr="00EE74A9" w:rsidRDefault="00065E4E" w:rsidP="005E0ADC">
      <w:pPr>
        <w:rPr>
          <w:b/>
          <w:lang w:val="en-US"/>
        </w:rPr>
      </w:pPr>
      <w:r w:rsidRPr="00EE74A9">
        <w:rPr>
          <w:b/>
          <w:lang w:val="en-US"/>
        </w:rPr>
        <w:t>Proposal</w:t>
      </w:r>
      <w:r>
        <w:rPr>
          <w:b/>
          <w:lang w:val="en-US"/>
        </w:rPr>
        <w:t xml:space="preserve"> 8</w:t>
      </w:r>
      <w:r w:rsidRPr="00EE74A9">
        <w:rPr>
          <w:b/>
          <w:lang w:val="en-US"/>
        </w:rPr>
        <w:t xml:space="preserve">: The NW configures </w:t>
      </w:r>
      <w:r w:rsidRPr="006D1D5A">
        <w:rPr>
          <w:b/>
          <w:lang w:val="en-US"/>
        </w:rPr>
        <w:t xml:space="preserve">data collection support </w:t>
      </w:r>
      <w:r w:rsidR="00C81156">
        <w:rPr>
          <w:b/>
          <w:lang w:val="en-US"/>
        </w:rPr>
        <w:t xml:space="preserve">information </w:t>
      </w:r>
      <w:r w:rsidR="00C81156" w:rsidRPr="00C81156">
        <w:rPr>
          <w:b/>
          <w:lang w:val="en-US"/>
        </w:rPr>
        <w:t>before the UE initiat</w:t>
      </w:r>
      <w:r w:rsidR="00C81156">
        <w:rPr>
          <w:b/>
          <w:lang w:val="en-US"/>
        </w:rPr>
        <w:t>es any data collection requests</w:t>
      </w:r>
      <w:r w:rsidRPr="00EE74A9">
        <w:rPr>
          <w:b/>
          <w:lang w:val="en-US"/>
        </w:rPr>
        <w:t>.</w:t>
      </w:r>
    </w:p>
    <w:p w14:paraId="71679C90" w14:textId="653846FB" w:rsidR="00065E4E" w:rsidRPr="00D6776F" w:rsidRDefault="00065E4E" w:rsidP="00065E4E">
      <w:pPr>
        <w:rPr>
          <w:b/>
          <w:lang w:val="en-US"/>
        </w:rPr>
      </w:pPr>
      <w:r w:rsidRPr="00D6776F">
        <w:rPr>
          <w:b/>
          <w:lang w:val="en-US"/>
        </w:rPr>
        <w:t>Proposal</w:t>
      </w:r>
      <w:r>
        <w:rPr>
          <w:b/>
          <w:lang w:val="en-US"/>
        </w:rPr>
        <w:t xml:space="preserve"> 9</w:t>
      </w:r>
      <w:r w:rsidRPr="00D6776F">
        <w:rPr>
          <w:b/>
          <w:lang w:val="en-US"/>
        </w:rPr>
        <w:t xml:space="preserve">: </w:t>
      </w:r>
      <w:r w:rsidR="007E1950" w:rsidRPr="007E1950">
        <w:rPr>
          <w:b/>
          <w:lang w:val="en-US"/>
        </w:rPr>
        <w:t>A prohibit timer is introduced to prevent the UE from immediately re-initiating a data collection request.</w:t>
      </w:r>
    </w:p>
    <w:p w14:paraId="6C8C1849" w14:textId="2AFE6259" w:rsidR="00530D49" w:rsidRPr="00530D49" w:rsidRDefault="00530D49" w:rsidP="00530D49">
      <w:pPr>
        <w:rPr>
          <w:i/>
          <w:u w:val="single"/>
          <w:lang w:eastAsia="zh-CN"/>
        </w:rPr>
      </w:pPr>
      <w:r w:rsidRPr="00530D49">
        <w:rPr>
          <w:i/>
          <w:u w:val="single"/>
          <w:lang w:eastAsia="zh-CN"/>
        </w:rPr>
        <w:t>Proactive approach without UE request:</w:t>
      </w:r>
    </w:p>
    <w:p w14:paraId="2D4F4933" w14:textId="6187E25B" w:rsidR="001D4400" w:rsidRDefault="001D4400" w:rsidP="00F65996">
      <w:pPr>
        <w:spacing w:after="0"/>
        <w:rPr>
          <w:b/>
          <w:lang w:val="en-US"/>
        </w:rPr>
      </w:pPr>
      <w:r w:rsidRPr="00DF4C48">
        <w:rPr>
          <w:b/>
          <w:lang w:val="en-US"/>
        </w:rPr>
        <w:lastRenderedPageBreak/>
        <w:t xml:space="preserve">Proposal </w:t>
      </w:r>
      <w:r w:rsidR="009653BE">
        <w:rPr>
          <w:b/>
          <w:lang w:val="en-US"/>
        </w:rPr>
        <w:t>10</w:t>
      </w:r>
      <w:r w:rsidRPr="00DF4C48">
        <w:rPr>
          <w:b/>
          <w:lang w:val="en-US"/>
        </w:rPr>
        <w:t xml:space="preserve">: </w:t>
      </w:r>
      <w:r w:rsidRPr="00830A59">
        <w:rPr>
          <w:b/>
          <w:lang w:val="en-US"/>
        </w:rPr>
        <w:t xml:space="preserve">The </w:t>
      </w:r>
      <w:r>
        <w:rPr>
          <w:b/>
          <w:lang w:val="en-US"/>
        </w:rPr>
        <w:t xml:space="preserve">UE provides </w:t>
      </w:r>
      <w:r w:rsidRPr="00C349F6">
        <w:rPr>
          <w:b/>
          <w:lang w:val="en-US"/>
        </w:rPr>
        <w:t>data collection related capability to the NW</w:t>
      </w:r>
      <w:r w:rsidRPr="00830A59">
        <w:rPr>
          <w:b/>
          <w:lang w:val="en-US"/>
        </w:rPr>
        <w:t xml:space="preserve"> </w:t>
      </w:r>
      <w:r>
        <w:rPr>
          <w:b/>
          <w:lang w:val="en-US"/>
        </w:rPr>
        <w:t>and the NW</w:t>
      </w:r>
      <w:r w:rsidR="00C15CB9">
        <w:rPr>
          <w:b/>
          <w:lang w:val="en-US"/>
        </w:rPr>
        <w:t xml:space="preserve"> </w:t>
      </w:r>
      <w:r w:rsidRPr="00830A59">
        <w:rPr>
          <w:b/>
          <w:lang w:val="en-US"/>
        </w:rPr>
        <w:t>provide</w:t>
      </w:r>
      <w:r w:rsidR="0065728D">
        <w:rPr>
          <w:b/>
          <w:lang w:val="en-US"/>
        </w:rPr>
        <w:t>s</w:t>
      </w:r>
      <w:r w:rsidRPr="00830A59">
        <w:rPr>
          <w:b/>
          <w:lang w:val="en-US"/>
        </w:rPr>
        <w:t xml:space="preserve"> the data collection configuration without UE request. </w:t>
      </w:r>
      <w:r w:rsidRPr="00DF4C48">
        <w:rPr>
          <w:b/>
          <w:lang w:val="en-US"/>
        </w:rPr>
        <w:t xml:space="preserve"> </w:t>
      </w:r>
    </w:p>
    <w:p w14:paraId="36D39AD4" w14:textId="6EE77DAC" w:rsidR="001C73F4" w:rsidRDefault="001C73F4" w:rsidP="00F65996">
      <w:pPr>
        <w:spacing w:after="0"/>
        <w:rPr>
          <w:b/>
          <w:lang w:val="en-US"/>
        </w:rPr>
      </w:pPr>
    </w:p>
    <w:p w14:paraId="2E83C6B3" w14:textId="5BAAA2DC" w:rsidR="003744F8" w:rsidRDefault="001C73F4" w:rsidP="00F65996">
      <w:pPr>
        <w:pStyle w:val="NormalWeb"/>
        <w:rPr>
          <w:b/>
        </w:rPr>
      </w:pPr>
      <w:r w:rsidRPr="005B7C1B">
        <w:rPr>
          <w:rFonts w:eastAsia="SimSun"/>
          <w:b/>
          <w:bCs/>
          <w:sz w:val="20"/>
          <w:szCs w:val="20"/>
          <w:lang w:eastAsia="en-GB"/>
        </w:rPr>
        <w:t>Proposal 11:</w:t>
      </w:r>
      <w:r w:rsidRPr="005B7C1B">
        <w:rPr>
          <w:rFonts w:eastAsia="SimSun"/>
          <w:b/>
          <w:sz w:val="20"/>
          <w:szCs w:val="20"/>
          <w:lang w:eastAsia="en-GB"/>
        </w:rPr>
        <w:t xml:space="preserve"> The UE sends an indication to the NW, specifying the reason</w:t>
      </w:r>
      <w:r>
        <w:rPr>
          <w:rFonts w:eastAsia="SimSun"/>
          <w:b/>
          <w:sz w:val="20"/>
          <w:szCs w:val="20"/>
          <w:lang w:eastAsia="en-GB"/>
        </w:rPr>
        <w:t xml:space="preserve"> (e.g., UE inability or inconsistency of NW configuration)</w:t>
      </w:r>
      <w:r w:rsidRPr="005B7C1B">
        <w:rPr>
          <w:rFonts w:eastAsia="SimSun"/>
          <w:b/>
          <w:sz w:val="20"/>
          <w:szCs w:val="20"/>
          <w:lang w:eastAsia="en-GB"/>
        </w:rPr>
        <w:t xml:space="preserve"> when it is unable to perform the configured data collection.</w:t>
      </w:r>
    </w:p>
    <w:p w14:paraId="785EBCD6" w14:textId="3D127264" w:rsidR="003744F8" w:rsidRDefault="003744F8" w:rsidP="002F705B">
      <w:pPr>
        <w:pStyle w:val="Heading1"/>
        <w:numPr>
          <w:ilvl w:val="0"/>
          <w:numId w:val="23"/>
        </w:numPr>
        <w:ind w:left="450"/>
        <w:rPr>
          <w:lang w:val="en-US"/>
        </w:rPr>
      </w:pPr>
      <w:r>
        <w:rPr>
          <w:lang w:val="en-US"/>
        </w:rPr>
        <w:t>Reference</w:t>
      </w:r>
    </w:p>
    <w:p w14:paraId="635AB20A" w14:textId="1E7BBCD6" w:rsidR="003744F8" w:rsidRPr="003744F8" w:rsidRDefault="009653BE" w:rsidP="003744F8">
      <w:pPr>
        <w:rPr>
          <w:b/>
          <w:lang w:val="en-US"/>
        </w:rPr>
      </w:pPr>
      <w:r>
        <w:t xml:space="preserve">[1]. </w:t>
      </w:r>
      <w:r w:rsidRPr="009653BE">
        <w:t>R1-2410898</w:t>
      </w:r>
      <w:r>
        <w:t xml:space="preserve">, </w:t>
      </w:r>
      <w:r w:rsidRPr="009653BE">
        <w:t>Reply LS on applicable functionality reporting for beam management UE-sided model</w:t>
      </w:r>
    </w:p>
    <w:sectPr w:rsidR="003744F8" w:rsidRPr="003744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5870D" w14:textId="77777777" w:rsidR="00346B0B" w:rsidRDefault="00346B0B">
      <w:pPr>
        <w:spacing w:after="0"/>
      </w:pPr>
      <w:r>
        <w:separator/>
      </w:r>
    </w:p>
  </w:endnote>
  <w:endnote w:type="continuationSeparator" w:id="0">
    <w:p w14:paraId="19DC7AFC" w14:textId="77777777" w:rsidR="00346B0B" w:rsidRDefault="00346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5E229" w14:textId="77777777" w:rsidR="00346B0B" w:rsidRDefault="00346B0B">
      <w:pPr>
        <w:spacing w:after="0"/>
      </w:pPr>
      <w:r>
        <w:separator/>
      </w:r>
    </w:p>
  </w:footnote>
  <w:footnote w:type="continuationSeparator" w:id="0">
    <w:p w14:paraId="01B5C052" w14:textId="77777777" w:rsidR="00346B0B" w:rsidRDefault="00346B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623A"/>
    <w:multiLevelType w:val="hybridMultilevel"/>
    <w:tmpl w:val="0CA2FB50"/>
    <w:lvl w:ilvl="0" w:tplc="A6F6BB10">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81406"/>
    <w:multiLevelType w:val="hybridMultilevel"/>
    <w:tmpl w:val="0A747C42"/>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002DA3"/>
    <w:multiLevelType w:val="hybridMultilevel"/>
    <w:tmpl w:val="26088E36"/>
    <w:lvl w:ilvl="0" w:tplc="3F1EEE8C">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211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163BEF"/>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FA62A56"/>
    <w:multiLevelType w:val="hybridMultilevel"/>
    <w:tmpl w:val="9C4CA09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AD44F0"/>
    <w:multiLevelType w:val="hybridMultilevel"/>
    <w:tmpl w:val="F418E83E"/>
    <w:lvl w:ilvl="0" w:tplc="042E9AB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1A7A70"/>
    <w:multiLevelType w:val="hybridMultilevel"/>
    <w:tmpl w:val="FAD45014"/>
    <w:lvl w:ilvl="0" w:tplc="7108D98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D7A3E67"/>
    <w:multiLevelType w:val="hybridMultilevel"/>
    <w:tmpl w:val="766441B8"/>
    <w:lvl w:ilvl="0" w:tplc="6B865BF6">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92086A"/>
    <w:multiLevelType w:val="hybridMultilevel"/>
    <w:tmpl w:val="EADA4A70"/>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71C33FF"/>
    <w:multiLevelType w:val="hybridMultilevel"/>
    <w:tmpl w:val="0F44171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25978"/>
    <w:multiLevelType w:val="multilevel"/>
    <w:tmpl w:val="12E4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FD2719"/>
    <w:multiLevelType w:val="hybridMultilevel"/>
    <w:tmpl w:val="3C20F6BA"/>
    <w:lvl w:ilvl="0" w:tplc="83A4AFBC">
      <w:numFmt w:val="bullet"/>
      <w:lvlText w:val="-"/>
      <w:lvlJc w:val="left"/>
      <w:pPr>
        <w:ind w:left="720" w:hanging="360"/>
      </w:pPr>
      <w:rPr>
        <w:rFonts w:ascii="Arial" w:eastAsia="PMingLiU"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0B5E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C95453"/>
    <w:multiLevelType w:val="hybridMultilevel"/>
    <w:tmpl w:val="8040AD1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054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A68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DA635D6"/>
    <w:multiLevelType w:val="hybridMultilevel"/>
    <w:tmpl w:val="2CBEE0E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5"/>
  </w:num>
  <w:num w:numId="2">
    <w:abstractNumId w:val="18"/>
  </w:num>
  <w:num w:numId="3">
    <w:abstractNumId w:val="12"/>
  </w:num>
  <w:num w:numId="4">
    <w:abstractNumId w:val="4"/>
  </w:num>
  <w:num w:numId="5">
    <w:abstractNumId w:val="17"/>
  </w:num>
  <w:num w:numId="6">
    <w:abstractNumId w:val="29"/>
  </w:num>
  <w:num w:numId="7">
    <w:abstractNumId w:val="26"/>
  </w:num>
  <w:num w:numId="8">
    <w:abstractNumId w:val="16"/>
  </w:num>
  <w:num w:numId="9">
    <w:abstractNumId w:val="24"/>
  </w:num>
  <w:num w:numId="10">
    <w:abstractNumId w:val="15"/>
  </w:num>
  <w:num w:numId="11">
    <w:abstractNumId w:val="28"/>
  </w:num>
  <w:num w:numId="12">
    <w:abstractNumId w:val="5"/>
  </w:num>
  <w:num w:numId="13">
    <w:abstractNumId w:val="2"/>
  </w:num>
  <w:num w:numId="14">
    <w:abstractNumId w:val="9"/>
  </w:num>
  <w:num w:numId="15">
    <w:abstractNumId w:val="27"/>
  </w:num>
  <w:num w:numId="16">
    <w:abstractNumId w:val="13"/>
  </w:num>
  <w:num w:numId="17">
    <w:abstractNumId w:val="23"/>
  </w:num>
  <w:num w:numId="18">
    <w:abstractNumId w:val="7"/>
  </w:num>
  <w:num w:numId="19">
    <w:abstractNumId w:val="1"/>
  </w:num>
  <w:num w:numId="20">
    <w:abstractNumId w:val="6"/>
  </w:num>
  <w:num w:numId="21">
    <w:abstractNumId w:val="20"/>
  </w:num>
  <w:num w:numId="22">
    <w:abstractNumId w:val="10"/>
  </w:num>
  <w:num w:numId="23">
    <w:abstractNumId w:val="0"/>
  </w:num>
  <w:num w:numId="24">
    <w:abstractNumId w:val="8"/>
  </w:num>
  <w:num w:numId="25">
    <w:abstractNumId w:val="3"/>
  </w:num>
  <w:num w:numId="26">
    <w:abstractNumId w:val="21"/>
  </w:num>
  <w:num w:numId="27">
    <w:abstractNumId w:val="22"/>
  </w:num>
  <w:num w:numId="28">
    <w:abstractNumId w:val="19"/>
  </w:num>
  <w:num w:numId="29">
    <w:abstractNumId w:val="11"/>
  </w:num>
  <w:num w:numId="3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486E"/>
    <w:rsid w:val="000071A3"/>
    <w:rsid w:val="000111EA"/>
    <w:rsid w:val="00012852"/>
    <w:rsid w:val="00012DF5"/>
    <w:rsid w:val="00017F23"/>
    <w:rsid w:val="00021411"/>
    <w:rsid w:val="000249B5"/>
    <w:rsid w:val="000278A8"/>
    <w:rsid w:val="00065E4E"/>
    <w:rsid w:val="000711AA"/>
    <w:rsid w:val="000816C3"/>
    <w:rsid w:val="00092108"/>
    <w:rsid w:val="00095CF4"/>
    <w:rsid w:val="00097F2A"/>
    <w:rsid w:val="000B3B70"/>
    <w:rsid w:val="000B47DF"/>
    <w:rsid w:val="000B6185"/>
    <w:rsid w:val="000C0375"/>
    <w:rsid w:val="000C12B6"/>
    <w:rsid w:val="000C151B"/>
    <w:rsid w:val="000C1922"/>
    <w:rsid w:val="000C28B5"/>
    <w:rsid w:val="000D07E9"/>
    <w:rsid w:val="000E1125"/>
    <w:rsid w:val="000E152C"/>
    <w:rsid w:val="000F6242"/>
    <w:rsid w:val="00104C6F"/>
    <w:rsid w:val="001071CE"/>
    <w:rsid w:val="001135FD"/>
    <w:rsid w:val="001144B2"/>
    <w:rsid w:val="00114C7F"/>
    <w:rsid w:val="001154B3"/>
    <w:rsid w:val="001159DA"/>
    <w:rsid w:val="001161DA"/>
    <w:rsid w:val="0011794D"/>
    <w:rsid w:val="001243BD"/>
    <w:rsid w:val="001327D9"/>
    <w:rsid w:val="00133092"/>
    <w:rsid w:val="0013428F"/>
    <w:rsid w:val="00136E40"/>
    <w:rsid w:val="00140CD3"/>
    <w:rsid w:val="00140EB4"/>
    <w:rsid w:val="0014166B"/>
    <w:rsid w:val="001418C5"/>
    <w:rsid w:val="0014437B"/>
    <w:rsid w:val="00151023"/>
    <w:rsid w:val="00151A60"/>
    <w:rsid w:val="0015375E"/>
    <w:rsid w:val="00154F98"/>
    <w:rsid w:val="00164688"/>
    <w:rsid w:val="00171406"/>
    <w:rsid w:val="00175724"/>
    <w:rsid w:val="00177E81"/>
    <w:rsid w:val="00182E0F"/>
    <w:rsid w:val="00184EB9"/>
    <w:rsid w:val="00190703"/>
    <w:rsid w:val="00196F88"/>
    <w:rsid w:val="001A0218"/>
    <w:rsid w:val="001A0B48"/>
    <w:rsid w:val="001B2623"/>
    <w:rsid w:val="001C7083"/>
    <w:rsid w:val="001C73F4"/>
    <w:rsid w:val="001D2C21"/>
    <w:rsid w:val="001D4400"/>
    <w:rsid w:val="001D5372"/>
    <w:rsid w:val="001E5D19"/>
    <w:rsid w:val="001F1961"/>
    <w:rsid w:val="001F1CBE"/>
    <w:rsid w:val="001F1ECE"/>
    <w:rsid w:val="0020015C"/>
    <w:rsid w:val="002037EE"/>
    <w:rsid w:val="002113D1"/>
    <w:rsid w:val="00213151"/>
    <w:rsid w:val="00230063"/>
    <w:rsid w:val="00232EE5"/>
    <w:rsid w:val="00236D64"/>
    <w:rsid w:val="002400DA"/>
    <w:rsid w:val="002435AB"/>
    <w:rsid w:val="0025175F"/>
    <w:rsid w:val="002578C6"/>
    <w:rsid w:val="00262BB6"/>
    <w:rsid w:val="00265023"/>
    <w:rsid w:val="00266958"/>
    <w:rsid w:val="002811C1"/>
    <w:rsid w:val="002834B6"/>
    <w:rsid w:val="002841A1"/>
    <w:rsid w:val="0029331B"/>
    <w:rsid w:val="00294E64"/>
    <w:rsid w:val="00295F5A"/>
    <w:rsid w:val="002A2A89"/>
    <w:rsid w:val="002A4525"/>
    <w:rsid w:val="002A5534"/>
    <w:rsid w:val="002B6083"/>
    <w:rsid w:val="002B6E9F"/>
    <w:rsid w:val="002D05FB"/>
    <w:rsid w:val="002D5BC5"/>
    <w:rsid w:val="002E2FDC"/>
    <w:rsid w:val="002E59CC"/>
    <w:rsid w:val="002E5F06"/>
    <w:rsid w:val="002E7402"/>
    <w:rsid w:val="002F1940"/>
    <w:rsid w:val="002F705B"/>
    <w:rsid w:val="00301DC2"/>
    <w:rsid w:val="00304BDA"/>
    <w:rsid w:val="003065F3"/>
    <w:rsid w:val="0031116F"/>
    <w:rsid w:val="003127D3"/>
    <w:rsid w:val="00323196"/>
    <w:rsid w:val="003272D1"/>
    <w:rsid w:val="0033058C"/>
    <w:rsid w:val="00335B66"/>
    <w:rsid w:val="003434FA"/>
    <w:rsid w:val="00346B0B"/>
    <w:rsid w:val="00351A2F"/>
    <w:rsid w:val="00355A03"/>
    <w:rsid w:val="00356E14"/>
    <w:rsid w:val="0036031A"/>
    <w:rsid w:val="0036246B"/>
    <w:rsid w:val="00365D36"/>
    <w:rsid w:val="003744F8"/>
    <w:rsid w:val="0037520B"/>
    <w:rsid w:val="00375993"/>
    <w:rsid w:val="00376B36"/>
    <w:rsid w:val="00377918"/>
    <w:rsid w:val="0038134D"/>
    <w:rsid w:val="00382404"/>
    <w:rsid w:val="00383545"/>
    <w:rsid w:val="003A1B89"/>
    <w:rsid w:val="003A7287"/>
    <w:rsid w:val="003B2343"/>
    <w:rsid w:val="003B4649"/>
    <w:rsid w:val="003D35AC"/>
    <w:rsid w:val="003D51FA"/>
    <w:rsid w:val="003E4315"/>
    <w:rsid w:val="003E6F93"/>
    <w:rsid w:val="003F1F8E"/>
    <w:rsid w:val="003F2157"/>
    <w:rsid w:val="003F25D4"/>
    <w:rsid w:val="0040328B"/>
    <w:rsid w:val="004035D1"/>
    <w:rsid w:val="00412448"/>
    <w:rsid w:val="004134A1"/>
    <w:rsid w:val="004177E4"/>
    <w:rsid w:val="00421763"/>
    <w:rsid w:val="00433500"/>
    <w:rsid w:val="00433F71"/>
    <w:rsid w:val="00440D43"/>
    <w:rsid w:val="004464E9"/>
    <w:rsid w:val="00452397"/>
    <w:rsid w:val="00454D74"/>
    <w:rsid w:val="00456201"/>
    <w:rsid w:val="0045703C"/>
    <w:rsid w:val="004649D5"/>
    <w:rsid w:val="00464FBF"/>
    <w:rsid w:val="004660D2"/>
    <w:rsid w:val="0046726B"/>
    <w:rsid w:val="00467A42"/>
    <w:rsid w:val="00470271"/>
    <w:rsid w:val="00473951"/>
    <w:rsid w:val="00477AF0"/>
    <w:rsid w:val="004947C5"/>
    <w:rsid w:val="00496BC5"/>
    <w:rsid w:val="004A0819"/>
    <w:rsid w:val="004A30B4"/>
    <w:rsid w:val="004A52E1"/>
    <w:rsid w:val="004B0365"/>
    <w:rsid w:val="004B18C4"/>
    <w:rsid w:val="004B614B"/>
    <w:rsid w:val="004B7112"/>
    <w:rsid w:val="004C06AC"/>
    <w:rsid w:val="004C2F82"/>
    <w:rsid w:val="004D12F6"/>
    <w:rsid w:val="004D2588"/>
    <w:rsid w:val="004D495B"/>
    <w:rsid w:val="004E2CA7"/>
    <w:rsid w:val="004E3939"/>
    <w:rsid w:val="004E6EDE"/>
    <w:rsid w:val="004F6290"/>
    <w:rsid w:val="004F73C8"/>
    <w:rsid w:val="004F7B4D"/>
    <w:rsid w:val="005069D8"/>
    <w:rsid w:val="00507183"/>
    <w:rsid w:val="00512D32"/>
    <w:rsid w:val="0052156B"/>
    <w:rsid w:val="00521B91"/>
    <w:rsid w:val="00523E4F"/>
    <w:rsid w:val="00525BD4"/>
    <w:rsid w:val="0052656C"/>
    <w:rsid w:val="00530D49"/>
    <w:rsid w:val="00535740"/>
    <w:rsid w:val="00536BCE"/>
    <w:rsid w:val="00540868"/>
    <w:rsid w:val="00540BA8"/>
    <w:rsid w:val="00551460"/>
    <w:rsid w:val="0055551D"/>
    <w:rsid w:val="0055570B"/>
    <w:rsid w:val="00567E04"/>
    <w:rsid w:val="0058054D"/>
    <w:rsid w:val="005807CE"/>
    <w:rsid w:val="005863ED"/>
    <w:rsid w:val="005948C5"/>
    <w:rsid w:val="005A2238"/>
    <w:rsid w:val="005B6A1F"/>
    <w:rsid w:val="005B7C1B"/>
    <w:rsid w:val="005C01FE"/>
    <w:rsid w:val="005C69BC"/>
    <w:rsid w:val="005C75D8"/>
    <w:rsid w:val="005D0317"/>
    <w:rsid w:val="005D5020"/>
    <w:rsid w:val="005D5294"/>
    <w:rsid w:val="005D687B"/>
    <w:rsid w:val="005E0ADC"/>
    <w:rsid w:val="005E23AA"/>
    <w:rsid w:val="005E2933"/>
    <w:rsid w:val="005E384B"/>
    <w:rsid w:val="005E43CC"/>
    <w:rsid w:val="005E626D"/>
    <w:rsid w:val="005E7827"/>
    <w:rsid w:val="005F0F2F"/>
    <w:rsid w:val="005F397F"/>
    <w:rsid w:val="005F4EE1"/>
    <w:rsid w:val="005F7350"/>
    <w:rsid w:val="00605C36"/>
    <w:rsid w:val="00622731"/>
    <w:rsid w:val="00622B12"/>
    <w:rsid w:val="006254B3"/>
    <w:rsid w:val="00632C31"/>
    <w:rsid w:val="00640AA6"/>
    <w:rsid w:val="0064124D"/>
    <w:rsid w:val="00641ACC"/>
    <w:rsid w:val="00645657"/>
    <w:rsid w:val="00645DCB"/>
    <w:rsid w:val="00646093"/>
    <w:rsid w:val="0065728D"/>
    <w:rsid w:val="006656CD"/>
    <w:rsid w:val="00666A30"/>
    <w:rsid w:val="00671865"/>
    <w:rsid w:val="006735B7"/>
    <w:rsid w:val="00675235"/>
    <w:rsid w:val="00677449"/>
    <w:rsid w:val="00691256"/>
    <w:rsid w:val="00693E46"/>
    <w:rsid w:val="006A34CC"/>
    <w:rsid w:val="006A3A7D"/>
    <w:rsid w:val="006B588B"/>
    <w:rsid w:val="006B7103"/>
    <w:rsid w:val="006C0B7A"/>
    <w:rsid w:val="006C1FC6"/>
    <w:rsid w:val="006C612B"/>
    <w:rsid w:val="006C6DED"/>
    <w:rsid w:val="006D131E"/>
    <w:rsid w:val="006D1D5A"/>
    <w:rsid w:val="006D2E0D"/>
    <w:rsid w:val="006D33C0"/>
    <w:rsid w:val="006E2568"/>
    <w:rsid w:val="006E2580"/>
    <w:rsid w:val="006E604C"/>
    <w:rsid w:val="006E60C1"/>
    <w:rsid w:val="006F4032"/>
    <w:rsid w:val="00705B9D"/>
    <w:rsid w:val="007120BC"/>
    <w:rsid w:val="0071585F"/>
    <w:rsid w:val="00730C49"/>
    <w:rsid w:val="007316FD"/>
    <w:rsid w:val="00732D4C"/>
    <w:rsid w:val="00737045"/>
    <w:rsid w:val="007630F8"/>
    <w:rsid w:val="00766089"/>
    <w:rsid w:val="00775E31"/>
    <w:rsid w:val="00776FEC"/>
    <w:rsid w:val="00777B11"/>
    <w:rsid w:val="00781F85"/>
    <w:rsid w:val="0079550C"/>
    <w:rsid w:val="00796791"/>
    <w:rsid w:val="007A03BF"/>
    <w:rsid w:val="007A35AC"/>
    <w:rsid w:val="007A4DF9"/>
    <w:rsid w:val="007B6320"/>
    <w:rsid w:val="007B7F7C"/>
    <w:rsid w:val="007C53BA"/>
    <w:rsid w:val="007C62BE"/>
    <w:rsid w:val="007C683D"/>
    <w:rsid w:val="007D433F"/>
    <w:rsid w:val="007E1950"/>
    <w:rsid w:val="007E2902"/>
    <w:rsid w:val="007F0A87"/>
    <w:rsid w:val="007F4F92"/>
    <w:rsid w:val="007F64F9"/>
    <w:rsid w:val="00804DBC"/>
    <w:rsid w:val="00807393"/>
    <w:rsid w:val="0081069B"/>
    <w:rsid w:val="008112B0"/>
    <w:rsid w:val="00811B43"/>
    <w:rsid w:val="00830A59"/>
    <w:rsid w:val="0083542A"/>
    <w:rsid w:val="00836231"/>
    <w:rsid w:val="008370EE"/>
    <w:rsid w:val="00841291"/>
    <w:rsid w:val="00842777"/>
    <w:rsid w:val="008521B4"/>
    <w:rsid w:val="00856D7D"/>
    <w:rsid w:val="00872017"/>
    <w:rsid w:val="00872F06"/>
    <w:rsid w:val="00874A32"/>
    <w:rsid w:val="0087764A"/>
    <w:rsid w:val="008776A0"/>
    <w:rsid w:val="00887BF1"/>
    <w:rsid w:val="00887FC2"/>
    <w:rsid w:val="00894912"/>
    <w:rsid w:val="00895B51"/>
    <w:rsid w:val="00895ED3"/>
    <w:rsid w:val="008A0112"/>
    <w:rsid w:val="008A316E"/>
    <w:rsid w:val="008B1962"/>
    <w:rsid w:val="008C1DEC"/>
    <w:rsid w:val="008C7432"/>
    <w:rsid w:val="008D1A0C"/>
    <w:rsid w:val="008D2AB1"/>
    <w:rsid w:val="008D444E"/>
    <w:rsid w:val="008D6E25"/>
    <w:rsid w:val="008D772F"/>
    <w:rsid w:val="008E2E07"/>
    <w:rsid w:val="009158F9"/>
    <w:rsid w:val="009210C7"/>
    <w:rsid w:val="00922C64"/>
    <w:rsid w:val="009230AF"/>
    <w:rsid w:val="00923C49"/>
    <w:rsid w:val="00932A89"/>
    <w:rsid w:val="009336A1"/>
    <w:rsid w:val="00940667"/>
    <w:rsid w:val="009530CF"/>
    <w:rsid w:val="0095340E"/>
    <w:rsid w:val="009537D9"/>
    <w:rsid w:val="00960C4D"/>
    <w:rsid w:val="009610F6"/>
    <w:rsid w:val="00961B52"/>
    <w:rsid w:val="009629BA"/>
    <w:rsid w:val="009653BE"/>
    <w:rsid w:val="00967C6A"/>
    <w:rsid w:val="00970312"/>
    <w:rsid w:val="009705BE"/>
    <w:rsid w:val="00980919"/>
    <w:rsid w:val="00980FB9"/>
    <w:rsid w:val="009848FD"/>
    <w:rsid w:val="00992540"/>
    <w:rsid w:val="0099764C"/>
    <w:rsid w:val="00997680"/>
    <w:rsid w:val="009A2CE3"/>
    <w:rsid w:val="009A6357"/>
    <w:rsid w:val="009A7197"/>
    <w:rsid w:val="009A7809"/>
    <w:rsid w:val="009B151D"/>
    <w:rsid w:val="009B49DD"/>
    <w:rsid w:val="009B5AD2"/>
    <w:rsid w:val="009B5F2E"/>
    <w:rsid w:val="009B6101"/>
    <w:rsid w:val="009C05AB"/>
    <w:rsid w:val="009C74A5"/>
    <w:rsid w:val="009D469C"/>
    <w:rsid w:val="009D5042"/>
    <w:rsid w:val="009F17BF"/>
    <w:rsid w:val="00A06880"/>
    <w:rsid w:val="00A06AB0"/>
    <w:rsid w:val="00A129AE"/>
    <w:rsid w:val="00A12E84"/>
    <w:rsid w:val="00A14572"/>
    <w:rsid w:val="00A14FEB"/>
    <w:rsid w:val="00A156CA"/>
    <w:rsid w:val="00A16C74"/>
    <w:rsid w:val="00A170F6"/>
    <w:rsid w:val="00A17BF2"/>
    <w:rsid w:val="00A17F7E"/>
    <w:rsid w:val="00A21663"/>
    <w:rsid w:val="00A2663E"/>
    <w:rsid w:val="00A30C68"/>
    <w:rsid w:val="00A36455"/>
    <w:rsid w:val="00A379F1"/>
    <w:rsid w:val="00A45798"/>
    <w:rsid w:val="00A470F2"/>
    <w:rsid w:val="00A50E57"/>
    <w:rsid w:val="00A52A2E"/>
    <w:rsid w:val="00A56A05"/>
    <w:rsid w:val="00A6283A"/>
    <w:rsid w:val="00A65454"/>
    <w:rsid w:val="00A671C1"/>
    <w:rsid w:val="00A739D6"/>
    <w:rsid w:val="00A74EEE"/>
    <w:rsid w:val="00A82923"/>
    <w:rsid w:val="00A84894"/>
    <w:rsid w:val="00A923CB"/>
    <w:rsid w:val="00A92961"/>
    <w:rsid w:val="00A93631"/>
    <w:rsid w:val="00A95C55"/>
    <w:rsid w:val="00A9712C"/>
    <w:rsid w:val="00AA114E"/>
    <w:rsid w:val="00AA1DFF"/>
    <w:rsid w:val="00AA6C64"/>
    <w:rsid w:val="00AB22C7"/>
    <w:rsid w:val="00AB309F"/>
    <w:rsid w:val="00AB3D9A"/>
    <w:rsid w:val="00AB4E8F"/>
    <w:rsid w:val="00AB66AF"/>
    <w:rsid w:val="00AD23AC"/>
    <w:rsid w:val="00AD34EE"/>
    <w:rsid w:val="00B012D3"/>
    <w:rsid w:val="00B03634"/>
    <w:rsid w:val="00B07D4D"/>
    <w:rsid w:val="00B15EC9"/>
    <w:rsid w:val="00B245FC"/>
    <w:rsid w:val="00B27E11"/>
    <w:rsid w:val="00B33FA9"/>
    <w:rsid w:val="00B375C7"/>
    <w:rsid w:val="00B41EB7"/>
    <w:rsid w:val="00B528CD"/>
    <w:rsid w:val="00B70F16"/>
    <w:rsid w:val="00B72FA4"/>
    <w:rsid w:val="00B75255"/>
    <w:rsid w:val="00B75AD0"/>
    <w:rsid w:val="00B77DFE"/>
    <w:rsid w:val="00B90CD4"/>
    <w:rsid w:val="00B94055"/>
    <w:rsid w:val="00B97703"/>
    <w:rsid w:val="00BA116E"/>
    <w:rsid w:val="00BA23B8"/>
    <w:rsid w:val="00BA2E36"/>
    <w:rsid w:val="00BB2BCA"/>
    <w:rsid w:val="00BB35BE"/>
    <w:rsid w:val="00BB7D3F"/>
    <w:rsid w:val="00BC0CA2"/>
    <w:rsid w:val="00BC4D75"/>
    <w:rsid w:val="00BC532C"/>
    <w:rsid w:val="00BC6961"/>
    <w:rsid w:val="00BD4E23"/>
    <w:rsid w:val="00BE09E3"/>
    <w:rsid w:val="00BE0A35"/>
    <w:rsid w:val="00BE551F"/>
    <w:rsid w:val="00BE798B"/>
    <w:rsid w:val="00BF10A0"/>
    <w:rsid w:val="00BF1A4A"/>
    <w:rsid w:val="00BF6F50"/>
    <w:rsid w:val="00C02EA4"/>
    <w:rsid w:val="00C0382C"/>
    <w:rsid w:val="00C060CE"/>
    <w:rsid w:val="00C076F6"/>
    <w:rsid w:val="00C078DC"/>
    <w:rsid w:val="00C07CA4"/>
    <w:rsid w:val="00C1022F"/>
    <w:rsid w:val="00C127C9"/>
    <w:rsid w:val="00C13BEB"/>
    <w:rsid w:val="00C1553D"/>
    <w:rsid w:val="00C15CB9"/>
    <w:rsid w:val="00C17E4F"/>
    <w:rsid w:val="00C32BA8"/>
    <w:rsid w:val="00C349F6"/>
    <w:rsid w:val="00C4099E"/>
    <w:rsid w:val="00C41AF5"/>
    <w:rsid w:val="00C51AC2"/>
    <w:rsid w:val="00C66B4B"/>
    <w:rsid w:val="00C72336"/>
    <w:rsid w:val="00C72EA2"/>
    <w:rsid w:val="00C77992"/>
    <w:rsid w:val="00C77AF6"/>
    <w:rsid w:val="00C81156"/>
    <w:rsid w:val="00C81642"/>
    <w:rsid w:val="00C83478"/>
    <w:rsid w:val="00C87788"/>
    <w:rsid w:val="00C91D30"/>
    <w:rsid w:val="00C930ED"/>
    <w:rsid w:val="00C967BF"/>
    <w:rsid w:val="00C971F4"/>
    <w:rsid w:val="00CA1AE4"/>
    <w:rsid w:val="00CA2CFF"/>
    <w:rsid w:val="00CA7BAE"/>
    <w:rsid w:val="00CB3848"/>
    <w:rsid w:val="00CB4ECB"/>
    <w:rsid w:val="00CB7BE4"/>
    <w:rsid w:val="00CC324E"/>
    <w:rsid w:val="00CC708B"/>
    <w:rsid w:val="00CC77AE"/>
    <w:rsid w:val="00CC7A9D"/>
    <w:rsid w:val="00CD0FD0"/>
    <w:rsid w:val="00CD2C1D"/>
    <w:rsid w:val="00CD2E51"/>
    <w:rsid w:val="00CD703B"/>
    <w:rsid w:val="00CD7174"/>
    <w:rsid w:val="00CF0C55"/>
    <w:rsid w:val="00CF4309"/>
    <w:rsid w:val="00CF6087"/>
    <w:rsid w:val="00D10CF0"/>
    <w:rsid w:val="00D23EF5"/>
    <w:rsid w:val="00D27552"/>
    <w:rsid w:val="00D3347B"/>
    <w:rsid w:val="00D43B36"/>
    <w:rsid w:val="00D53159"/>
    <w:rsid w:val="00D536BC"/>
    <w:rsid w:val="00D561C7"/>
    <w:rsid w:val="00D63E7A"/>
    <w:rsid w:val="00D63EC8"/>
    <w:rsid w:val="00D66440"/>
    <w:rsid w:val="00D667E3"/>
    <w:rsid w:val="00D6776F"/>
    <w:rsid w:val="00D74871"/>
    <w:rsid w:val="00D763EE"/>
    <w:rsid w:val="00D7741F"/>
    <w:rsid w:val="00D8327A"/>
    <w:rsid w:val="00D847FA"/>
    <w:rsid w:val="00D85347"/>
    <w:rsid w:val="00D97D13"/>
    <w:rsid w:val="00DA255A"/>
    <w:rsid w:val="00DA2B97"/>
    <w:rsid w:val="00DA7338"/>
    <w:rsid w:val="00DB72A6"/>
    <w:rsid w:val="00DC2D3C"/>
    <w:rsid w:val="00DD1AE5"/>
    <w:rsid w:val="00DD6D2B"/>
    <w:rsid w:val="00DE27A3"/>
    <w:rsid w:val="00DE6AB5"/>
    <w:rsid w:val="00DF4C48"/>
    <w:rsid w:val="00DF5ABB"/>
    <w:rsid w:val="00DF6CF3"/>
    <w:rsid w:val="00E01F72"/>
    <w:rsid w:val="00E0375B"/>
    <w:rsid w:val="00E05714"/>
    <w:rsid w:val="00E147AB"/>
    <w:rsid w:val="00E20F95"/>
    <w:rsid w:val="00E22D20"/>
    <w:rsid w:val="00E24C78"/>
    <w:rsid w:val="00E27B61"/>
    <w:rsid w:val="00E305CA"/>
    <w:rsid w:val="00E36105"/>
    <w:rsid w:val="00E36388"/>
    <w:rsid w:val="00E52E45"/>
    <w:rsid w:val="00E54621"/>
    <w:rsid w:val="00E56913"/>
    <w:rsid w:val="00E57432"/>
    <w:rsid w:val="00E63881"/>
    <w:rsid w:val="00E64987"/>
    <w:rsid w:val="00E67C5F"/>
    <w:rsid w:val="00E76113"/>
    <w:rsid w:val="00E80349"/>
    <w:rsid w:val="00E820E1"/>
    <w:rsid w:val="00E831CC"/>
    <w:rsid w:val="00E84120"/>
    <w:rsid w:val="00E856B3"/>
    <w:rsid w:val="00E87DBC"/>
    <w:rsid w:val="00E90206"/>
    <w:rsid w:val="00E918A5"/>
    <w:rsid w:val="00E93D04"/>
    <w:rsid w:val="00EA07B3"/>
    <w:rsid w:val="00EB1DAC"/>
    <w:rsid w:val="00EB4580"/>
    <w:rsid w:val="00EC02D2"/>
    <w:rsid w:val="00EC5189"/>
    <w:rsid w:val="00EC5782"/>
    <w:rsid w:val="00EC641A"/>
    <w:rsid w:val="00ED0AEA"/>
    <w:rsid w:val="00ED5B38"/>
    <w:rsid w:val="00ED5D0F"/>
    <w:rsid w:val="00ED6AB3"/>
    <w:rsid w:val="00EE0669"/>
    <w:rsid w:val="00EE0AD8"/>
    <w:rsid w:val="00EE1AFC"/>
    <w:rsid w:val="00EE2AEF"/>
    <w:rsid w:val="00EE74A9"/>
    <w:rsid w:val="00EF1511"/>
    <w:rsid w:val="00F02819"/>
    <w:rsid w:val="00F0462A"/>
    <w:rsid w:val="00F052CD"/>
    <w:rsid w:val="00F07079"/>
    <w:rsid w:val="00F144DD"/>
    <w:rsid w:val="00F23C38"/>
    <w:rsid w:val="00F23E23"/>
    <w:rsid w:val="00F26AEB"/>
    <w:rsid w:val="00F30044"/>
    <w:rsid w:val="00F456D8"/>
    <w:rsid w:val="00F47A66"/>
    <w:rsid w:val="00F52284"/>
    <w:rsid w:val="00F56AF3"/>
    <w:rsid w:val="00F628AD"/>
    <w:rsid w:val="00F6321F"/>
    <w:rsid w:val="00F651C5"/>
    <w:rsid w:val="00F65996"/>
    <w:rsid w:val="00F743AC"/>
    <w:rsid w:val="00F74C3C"/>
    <w:rsid w:val="00F76DEE"/>
    <w:rsid w:val="00F847C2"/>
    <w:rsid w:val="00F9352F"/>
    <w:rsid w:val="00F946DF"/>
    <w:rsid w:val="00F9565A"/>
    <w:rsid w:val="00FA2FCD"/>
    <w:rsid w:val="00FA67B4"/>
    <w:rsid w:val="00FB19F5"/>
    <w:rsid w:val="00FB379C"/>
    <w:rsid w:val="00FC16D6"/>
    <w:rsid w:val="00FC22D2"/>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54D"/>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b/>
      <w:szCs w:val="24"/>
    </w:rPr>
  </w:style>
  <w:style w:type="paragraph" w:customStyle="1" w:styleId="EmailDiscussion2">
    <w:name w:val="EmailDiscussion2"/>
    <w:basedOn w:val="Doc-text2"/>
    <w:qFormat/>
    <w:rsid w:val="00766089"/>
  </w:style>
  <w:style w:type="paragraph" w:customStyle="1" w:styleId="para099">
    <w:name w:val="para099"/>
    <w:basedOn w:val="Normal"/>
    <w:link w:val="para099Char1"/>
    <w:qFormat/>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unhideWhenUsed/>
    <w:rsid w:val="0014166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14166B"/>
    <w:rPr>
      <w:b/>
      <w:bCs/>
    </w:rPr>
  </w:style>
  <w:style w:type="paragraph" w:customStyle="1" w:styleId="Agreement">
    <w:name w:val="Agreement"/>
    <w:basedOn w:val="Normal"/>
    <w:next w:val="Doc-text2"/>
    <w:uiPriority w:val="99"/>
    <w:qFormat/>
    <w:rsid w:val="006D131E"/>
    <w:pPr>
      <w:numPr>
        <w:numId w:val="11"/>
      </w:numPr>
      <w:overflowPunct/>
      <w:autoSpaceDE/>
      <w:autoSpaceDN/>
      <w:adjustRightInd/>
      <w:spacing w:before="60" w:after="0"/>
      <w:textAlignment w:val="auto"/>
    </w:pPr>
    <w:rPr>
      <w:rFonts w:ascii="Arial" w:eastAsia="MS Mincho" w:hAnsi="Arial"/>
      <w:b/>
      <w:szCs w:val="24"/>
    </w:rPr>
  </w:style>
  <w:style w:type="character" w:customStyle="1" w:styleId="para099Char1">
    <w:name w:val="para099 Char1"/>
    <w:basedOn w:val="DefaultParagraphFont"/>
    <w:link w:val="para099"/>
    <w:locked/>
    <w:rsid w:val="00AB3D9A"/>
  </w:style>
  <w:style w:type="character" w:styleId="Emphasis">
    <w:name w:val="Emphasis"/>
    <w:basedOn w:val="DefaultParagraphFont"/>
    <w:uiPriority w:val="20"/>
    <w:qFormat/>
    <w:rsid w:val="00CD0F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18245">
      <w:bodyDiv w:val="1"/>
      <w:marLeft w:val="0"/>
      <w:marRight w:val="0"/>
      <w:marTop w:val="0"/>
      <w:marBottom w:val="0"/>
      <w:divBdr>
        <w:top w:val="none" w:sz="0" w:space="0" w:color="auto"/>
        <w:left w:val="none" w:sz="0" w:space="0" w:color="auto"/>
        <w:bottom w:val="none" w:sz="0" w:space="0" w:color="auto"/>
        <w:right w:val="none" w:sz="0" w:space="0" w:color="auto"/>
      </w:divBdr>
      <w:divsChild>
        <w:div w:id="806437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351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140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049981">
      <w:bodyDiv w:val="1"/>
      <w:marLeft w:val="0"/>
      <w:marRight w:val="0"/>
      <w:marTop w:val="0"/>
      <w:marBottom w:val="0"/>
      <w:divBdr>
        <w:top w:val="none" w:sz="0" w:space="0" w:color="auto"/>
        <w:left w:val="none" w:sz="0" w:space="0" w:color="auto"/>
        <w:bottom w:val="none" w:sz="0" w:space="0" w:color="auto"/>
        <w:right w:val="none" w:sz="0" w:space="0" w:color="auto"/>
      </w:divBdr>
      <w:divsChild>
        <w:div w:id="46533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884125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410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EC7C0-335A-499D-9E22-76BFBE5B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2344</TotalTime>
  <Pages>7</Pages>
  <Words>3161</Words>
  <Characters>18020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21139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cp:keywords/>
  <dc:description/>
  <cp:lastModifiedBy>Tingting GENG</cp:lastModifiedBy>
  <cp:revision>192</cp:revision>
  <cp:lastPrinted>2002-04-23T07:10:00Z</cp:lastPrinted>
  <dcterms:created xsi:type="dcterms:W3CDTF">2024-09-26T05:42:00Z</dcterms:created>
  <dcterms:modified xsi:type="dcterms:W3CDTF">2025-02-07T05:32:00Z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